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F5" w:rsidRPr="00FC5B0A" w:rsidRDefault="00A021F5" w:rsidP="00A021F5">
      <w:pPr>
        <w:ind w:left="-567"/>
        <w:rPr>
          <w:noProof/>
          <w:sz w:val="20"/>
        </w:rPr>
      </w:pPr>
      <w:r>
        <w:rPr>
          <w:noProof/>
          <w:sz w:val="20"/>
        </w:rPr>
        <w:t xml:space="preserve"> </w:t>
      </w:r>
      <w:r>
        <w:rPr>
          <w:sz w:val="16"/>
          <w:szCs w:val="16"/>
        </w:rPr>
        <w:t xml:space="preserve">                                                                                                                                                                                </w:t>
      </w:r>
    </w:p>
    <w:p w:rsidR="00A021F5" w:rsidRDefault="00A021F5" w:rsidP="00A021F5">
      <w:r>
        <w:rPr>
          <w:noProof/>
        </w:rPr>
        <mc:AlternateContent>
          <mc:Choice Requires="wps">
            <w:drawing>
              <wp:anchor distT="36576" distB="36576" distL="36576" distR="36576" simplePos="0" relativeHeight="251659264" behindDoc="0" locked="0" layoutInCell="1" allowOverlap="1" wp14:anchorId="676DE460" wp14:editId="7DDF229E">
                <wp:simplePos x="0" y="0"/>
                <wp:positionH relativeFrom="column">
                  <wp:posOffset>1454785</wp:posOffset>
                </wp:positionH>
                <wp:positionV relativeFrom="paragraph">
                  <wp:posOffset>21590</wp:posOffset>
                </wp:positionV>
                <wp:extent cx="3658870" cy="1193800"/>
                <wp:effectExtent l="0" t="2540" r="317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58870" cy="1193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22CB" w:rsidRPr="003C07F5" w:rsidRDefault="00C722CB" w:rsidP="00A021F5">
                            <w:pPr>
                              <w:widowControl w:val="0"/>
                              <w:jc w:val="center"/>
                              <w:rPr>
                                <w:rFonts w:ascii="Christopherhand" w:hAnsi="Christopherhand"/>
                                <w:b/>
                                <w:bCs/>
                                <w:color w:val="3333CC"/>
                                <w:sz w:val="56"/>
                                <w:szCs w:val="56"/>
                              </w:rPr>
                            </w:pPr>
                            <w:r w:rsidRPr="003C07F5">
                              <w:rPr>
                                <w:rFonts w:ascii="Christopherhand" w:hAnsi="Christopherhand"/>
                                <w:b/>
                                <w:bCs/>
                                <w:color w:val="3333CC"/>
                                <w:sz w:val="56"/>
                                <w:szCs w:val="56"/>
                              </w:rPr>
                              <w:t xml:space="preserve">LPO </w:t>
                            </w:r>
                            <w:proofErr w:type="spellStart"/>
                            <w:r w:rsidRPr="003C07F5">
                              <w:rPr>
                                <w:rFonts w:ascii="Christopherhand" w:hAnsi="Christopherhand"/>
                                <w:b/>
                                <w:bCs/>
                                <w:color w:val="3333CC"/>
                                <w:sz w:val="56"/>
                                <w:szCs w:val="56"/>
                              </w:rPr>
                              <w:t>Lumina</w:t>
                            </w:r>
                            <w:proofErr w:type="spellEnd"/>
                            <w:r w:rsidRPr="003C07F5">
                              <w:rPr>
                                <w:rFonts w:ascii="Christopherhand" w:hAnsi="Christopherhand"/>
                                <w:b/>
                                <w:bCs/>
                                <w:color w:val="3333CC"/>
                                <w:sz w:val="56"/>
                                <w:szCs w:val="56"/>
                              </w:rPr>
                              <w:t xml:space="preserve"> SOPHIE</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3 allée des Buissons Ardents</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BP 112</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97393 SAINT LAURENT DU MARONI</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sym w:font="Wingdings 2" w:char="F027"/>
                            </w:r>
                            <w:r w:rsidRPr="00F4266D">
                              <w:rPr>
                                <w:rFonts w:ascii="Kristen ITC" w:eastAsia="Arial Unicode MS" w:hAnsi="Kristen ITC" w:cs="Arial Unicode MS"/>
                                <w:bCs/>
                                <w:color w:val="000080"/>
                                <w:sz w:val="18"/>
                                <w:szCs w:val="18"/>
                              </w:rPr>
                              <w:t xml:space="preserve"> : 0594340940 - </w:t>
                            </w:r>
                            <w:r w:rsidRPr="00F4266D">
                              <w:rPr>
                                <w:rFonts w:ascii="Kristen ITC" w:eastAsia="Arial Unicode MS" w:hAnsi="Kristen ITC" w:cs="Arial Unicode MS"/>
                                <w:bCs/>
                                <w:color w:val="000080"/>
                                <w:sz w:val="18"/>
                                <w:szCs w:val="18"/>
                              </w:rPr>
                              <w:sym w:font="Wingdings 2" w:char="F037"/>
                            </w:r>
                            <w:r w:rsidRPr="00F4266D">
                              <w:rPr>
                                <w:rFonts w:ascii="Kristen ITC" w:eastAsia="Arial Unicode MS" w:hAnsi="Kristen ITC" w:cs="Arial Unicode MS"/>
                                <w:bCs/>
                                <w:color w:val="000080"/>
                                <w:sz w:val="18"/>
                                <w:szCs w:val="18"/>
                              </w:rPr>
                              <w:t xml:space="preserve"> : 0594340938 -  </w:t>
                            </w:r>
                            <w:r w:rsidRPr="00F4266D">
                              <w:rPr>
                                <w:rFonts w:ascii="Kristen ITC" w:eastAsia="Arial Unicode MS" w:hAnsi="Kristen ITC" w:cs="Arial Unicode MS"/>
                                <w:bCs/>
                                <w:color w:val="000080"/>
                                <w:sz w:val="18"/>
                                <w:szCs w:val="18"/>
                              </w:rPr>
                              <w:sym w:font="Wingdings 2" w:char="F03B"/>
                            </w:r>
                            <w:r w:rsidRPr="00F4266D">
                              <w:rPr>
                                <w:rFonts w:ascii="Kristen ITC" w:eastAsia="Arial Unicode MS" w:hAnsi="Kristen ITC" w:cs="Arial Unicode MS"/>
                                <w:bCs/>
                                <w:color w:val="000080"/>
                                <w:sz w:val="18"/>
                                <w:szCs w:val="18"/>
                              </w:rPr>
                              <w:t> : 9730371R@ac-guyane.fr</w:t>
                            </w:r>
                          </w:p>
                          <w:p w:rsidR="00C722CB" w:rsidRPr="00F4266D" w:rsidRDefault="00C722CB" w:rsidP="00A021F5">
                            <w:pPr>
                              <w:widowControl w:val="0"/>
                              <w:jc w:val="center"/>
                              <w:rPr>
                                <w:rFonts w:ascii="Christopherhand" w:hAnsi="Christopherhand"/>
                                <w:bCs/>
                                <w:color w:val="3333CC"/>
                                <w:sz w:val="22"/>
                                <w:szCs w:val="22"/>
                              </w:rPr>
                            </w:pPr>
                          </w:p>
                          <w:p w:rsidR="00C722CB" w:rsidRPr="00F4266D" w:rsidRDefault="00C722CB" w:rsidP="00A021F5">
                            <w:pPr>
                              <w:widowControl w:val="0"/>
                              <w:jc w:val="center"/>
                              <w:rPr>
                                <w:rFonts w:ascii="Arial" w:hAnsi="Arial" w:cs="Arial"/>
                                <w:color w:val="3333CC"/>
                                <w:sz w:val="16"/>
                                <w:szCs w:val="16"/>
                              </w:rPr>
                            </w:pPr>
                            <w:r w:rsidRPr="00F4266D">
                              <w:rPr>
                                <w:rFonts w:ascii="Arial" w:hAnsi="Arial" w:cs="Arial"/>
                                <w:color w:val="3333CC"/>
                                <w:sz w:val="16"/>
                                <w:szCs w:val="1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14.55pt;margin-top:1.7pt;width:288.1pt;height:9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" filled="f" stroked="f" insetpen="t">
                <o:lock v:ext="edit" shapetype="t"/>
                <v:textbox inset="2.88pt,2.88pt,2.88pt,2.88pt">
                  <w:txbxContent>
                    <w:p w:rsidR="00C722CB" w:rsidRPr="003C07F5" w:rsidRDefault="00C722CB" w:rsidP="00A021F5">
                      <w:pPr>
                        <w:widowControl w:val="0"/>
                        <w:jc w:val="center"/>
                        <w:rPr>
                          <w:rFonts w:ascii="Christopherhand" w:hAnsi="Christopherhand"/>
                          <w:b/>
                          <w:bCs/>
                          <w:color w:val="3333CC"/>
                          <w:sz w:val="56"/>
                          <w:szCs w:val="56"/>
                        </w:rPr>
                      </w:pPr>
                      <w:r w:rsidRPr="003C07F5">
                        <w:rPr>
                          <w:rFonts w:ascii="Christopherhand" w:hAnsi="Christopherhand"/>
                          <w:b/>
                          <w:bCs/>
                          <w:color w:val="3333CC"/>
                          <w:sz w:val="56"/>
                          <w:szCs w:val="56"/>
                        </w:rPr>
                        <w:t xml:space="preserve">LPO </w:t>
                      </w:r>
                      <w:proofErr w:type="spellStart"/>
                      <w:r w:rsidRPr="003C07F5">
                        <w:rPr>
                          <w:rFonts w:ascii="Christopherhand" w:hAnsi="Christopherhand"/>
                          <w:b/>
                          <w:bCs/>
                          <w:color w:val="3333CC"/>
                          <w:sz w:val="56"/>
                          <w:szCs w:val="56"/>
                        </w:rPr>
                        <w:t>Lumina</w:t>
                      </w:r>
                      <w:proofErr w:type="spellEnd"/>
                      <w:r w:rsidRPr="003C07F5">
                        <w:rPr>
                          <w:rFonts w:ascii="Christopherhand" w:hAnsi="Christopherhand"/>
                          <w:b/>
                          <w:bCs/>
                          <w:color w:val="3333CC"/>
                          <w:sz w:val="56"/>
                          <w:szCs w:val="56"/>
                        </w:rPr>
                        <w:t xml:space="preserve"> SOPHIE</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3 allée des Buissons Ardents</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BP 112</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t>97393 SAINT LAURENT DU MARONI</w:t>
                      </w:r>
                    </w:p>
                    <w:p w:rsidR="00C722CB" w:rsidRPr="00F4266D" w:rsidRDefault="00C722CB" w:rsidP="00A021F5">
                      <w:pPr>
                        <w:jc w:val="center"/>
                        <w:outlineLvl w:val="0"/>
                        <w:rPr>
                          <w:rFonts w:ascii="Kristen ITC" w:eastAsia="Arial Unicode MS" w:hAnsi="Kristen ITC" w:cs="Arial Unicode MS"/>
                          <w:bCs/>
                          <w:color w:val="000080"/>
                          <w:sz w:val="18"/>
                          <w:szCs w:val="18"/>
                        </w:rPr>
                      </w:pPr>
                      <w:r w:rsidRPr="00F4266D">
                        <w:rPr>
                          <w:rFonts w:ascii="Kristen ITC" w:eastAsia="Arial Unicode MS" w:hAnsi="Kristen ITC" w:cs="Arial Unicode MS"/>
                          <w:bCs/>
                          <w:color w:val="000080"/>
                          <w:sz w:val="18"/>
                          <w:szCs w:val="18"/>
                        </w:rPr>
                        <w:sym w:font="Wingdings 2" w:char="F027"/>
                      </w:r>
                      <w:r w:rsidRPr="00F4266D">
                        <w:rPr>
                          <w:rFonts w:ascii="Kristen ITC" w:eastAsia="Arial Unicode MS" w:hAnsi="Kristen ITC" w:cs="Arial Unicode MS"/>
                          <w:bCs/>
                          <w:color w:val="000080"/>
                          <w:sz w:val="18"/>
                          <w:szCs w:val="18"/>
                        </w:rPr>
                        <w:t xml:space="preserve"> : 0594340940 - </w:t>
                      </w:r>
                      <w:r w:rsidRPr="00F4266D">
                        <w:rPr>
                          <w:rFonts w:ascii="Kristen ITC" w:eastAsia="Arial Unicode MS" w:hAnsi="Kristen ITC" w:cs="Arial Unicode MS"/>
                          <w:bCs/>
                          <w:color w:val="000080"/>
                          <w:sz w:val="18"/>
                          <w:szCs w:val="18"/>
                        </w:rPr>
                        <w:sym w:font="Wingdings 2" w:char="F037"/>
                      </w:r>
                      <w:r w:rsidRPr="00F4266D">
                        <w:rPr>
                          <w:rFonts w:ascii="Kristen ITC" w:eastAsia="Arial Unicode MS" w:hAnsi="Kristen ITC" w:cs="Arial Unicode MS"/>
                          <w:bCs/>
                          <w:color w:val="000080"/>
                          <w:sz w:val="18"/>
                          <w:szCs w:val="18"/>
                        </w:rPr>
                        <w:t xml:space="preserve"> : 0594340938 -  </w:t>
                      </w:r>
                      <w:r w:rsidRPr="00F4266D">
                        <w:rPr>
                          <w:rFonts w:ascii="Kristen ITC" w:eastAsia="Arial Unicode MS" w:hAnsi="Kristen ITC" w:cs="Arial Unicode MS"/>
                          <w:bCs/>
                          <w:color w:val="000080"/>
                          <w:sz w:val="18"/>
                          <w:szCs w:val="18"/>
                        </w:rPr>
                        <w:sym w:font="Wingdings 2" w:char="F03B"/>
                      </w:r>
                      <w:r w:rsidRPr="00F4266D">
                        <w:rPr>
                          <w:rFonts w:ascii="Kristen ITC" w:eastAsia="Arial Unicode MS" w:hAnsi="Kristen ITC" w:cs="Arial Unicode MS"/>
                          <w:bCs/>
                          <w:color w:val="000080"/>
                          <w:sz w:val="18"/>
                          <w:szCs w:val="18"/>
                        </w:rPr>
                        <w:t> : 9730371R@ac-guyane.fr</w:t>
                      </w:r>
                    </w:p>
                    <w:p w:rsidR="00C722CB" w:rsidRPr="00F4266D" w:rsidRDefault="00C722CB" w:rsidP="00A021F5">
                      <w:pPr>
                        <w:widowControl w:val="0"/>
                        <w:jc w:val="center"/>
                        <w:rPr>
                          <w:rFonts w:ascii="Christopherhand" w:hAnsi="Christopherhand"/>
                          <w:bCs/>
                          <w:color w:val="3333CC"/>
                          <w:sz w:val="22"/>
                          <w:szCs w:val="22"/>
                        </w:rPr>
                      </w:pPr>
                    </w:p>
                    <w:p w:rsidR="00C722CB" w:rsidRPr="00F4266D" w:rsidRDefault="00C722CB" w:rsidP="00A021F5">
                      <w:pPr>
                        <w:widowControl w:val="0"/>
                        <w:jc w:val="center"/>
                        <w:rPr>
                          <w:rFonts w:ascii="Arial" w:hAnsi="Arial" w:cs="Arial"/>
                          <w:color w:val="3333CC"/>
                          <w:sz w:val="16"/>
                          <w:szCs w:val="16"/>
                        </w:rPr>
                      </w:pPr>
                      <w:r w:rsidRPr="00F4266D">
                        <w:rPr>
                          <w:rFonts w:ascii="Arial" w:hAnsi="Arial" w:cs="Arial"/>
                          <w:color w:val="3333CC"/>
                          <w:sz w:val="16"/>
                          <w:szCs w:val="16"/>
                        </w:rPr>
                        <w:t> </w:t>
                      </w:r>
                    </w:p>
                  </w:txbxContent>
                </v:textbox>
              </v:shape>
            </w:pict>
          </mc:Fallback>
        </mc:AlternateContent>
      </w:r>
      <w:r>
        <w:rPr>
          <w:noProof/>
        </w:rPr>
        <w:drawing>
          <wp:inline distT="0" distB="0" distL="0" distR="0" wp14:anchorId="74400F3E" wp14:editId="5895A380">
            <wp:extent cx="1152525" cy="838200"/>
            <wp:effectExtent l="0" t="0" r="9525" b="0"/>
            <wp:docPr id="1" name="Image 1" descr="Description : Résultat de recherche d'images pour &quot;logo education nation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Résultat de recherche d'images pour &quot;logo education national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3820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7FAE4794" wp14:editId="5BFCF00D">
            <wp:extent cx="1190625" cy="1057275"/>
            <wp:effectExtent l="0" t="0" r="9525" b="9525"/>
            <wp:docPr id="2" name="Image 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057275"/>
                    </a:xfrm>
                    <a:prstGeom prst="rect">
                      <a:avLst/>
                    </a:prstGeom>
                    <a:noFill/>
                    <a:ln>
                      <a:noFill/>
                    </a:ln>
                  </pic:spPr>
                </pic:pic>
              </a:graphicData>
            </a:graphic>
          </wp:inline>
        </w:drawing>
      </w:r>
    </w:p>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Default="00A021F5" w:rsidP="00A021F5"/>
    <w:p w:rsidR="00A021F5" w:rsidRPr="00F70218" w:rsidRDefault="00A021F5" w:rsidP="00A021F5">
      <w:pPr>
        <w:jc w:val="center"/>
        <w:rPr>
          <w:b/>
          <w:sz w:val="72"/>
          <w:szCs w:val="72"/>
        </w:rPr>
      </w:pPr>
      <w:r w:rsidRPr="00F70218">
        <w:rPr>
          <w:b/>
          <w:sz w:val="72"/>
          <w:szCs w:val="72"/>
        </w:rPr>
        <w:t>PROJET D’ETABLISSEMENT</w:t>
      </w:r>
    </w:p>
    <w:p w:rsidR="00A021F5" w:rsidRPr="00F70218" w:rsidRDefault="00A021F5" w:rsidP="00A021F5">
      <w:pPr>
        <w:jc w:val="center"/>
        <w:rPr>
          <w:b/>
          <w:sz w:val="72"/>
          <w:szCs w:val="72"/>
        </w:rPr>
      </w:pPr>
    </w:p>
    <w:p w:rsidR="00A021F5" w:rsidRPr="00F70218" w:rsidRDefault="00A021F5" w:rsidP="00A021F5">
      <w:pPr>
        <w:jc w:val="center"/>
        <w:rPr>
          <w:b/>
          <w:sz w:val="72"/>
          <w:szCs w:val="72"/>
        </w:rPr>
      </w:pPr>
      <w:r w:rsidRPr="00F70218">
        <w:rPr>
          <w:b/>
          <w:sz w:val="72"/>
          <w:szCs w:val="72"/>
        </w:rPr>
        <w:t>2015-2019</w:t>
      </w:r>
    </w:p>
    <w:p w:rsidR="00FE68B4" w:rsidRDefault="00FE68B4"/>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Pr="00900F1D" w:rsidRDefault="00A021F5" w:rsidP="00A021F5">
      <w:pPr>
        <w:rPr>
          <w:rFonts w:ascii="Verdana" w:hAnsi="Verdana"/>
          <w:sz w:val="36"/>
          <w:szCs w:val="36"/>
        </w:rPr>
      </w:pPr>
      <w:r w:rsidRPr="00900F1D">
        <w:rPr>
          <w:rFonts w:ascii="Verdana" w:hAnsi="Verdana"/>
          <w:sz w:val="36"/>
          <w:szCs w:val="36"/>
        </w:rPr>
        <w:t>Le nouveau projet d’établissement fait suite au diagnostic réal</w:t>
      </w:r>
      <w:r>
        <w:rPr>
          <w:rFonts w:ascii="Verdana" w:hAnsi="Verdana"/>
          <w:sz w:val="36"/>
          <w:szCs w:val="36"/>
        </w:rPr>
        <w:t>isé par la communauté éducative lors de ses travaux du 15 juin 2015.</w:t>
      </w:r>
    </w:p>
    <w:p w:rsidR="00A021F5" w:rsidRPr="00900F1D" w:rsidRDefault="00A021F5" w:rsidP="00A021F5">
      <w:pPr>
        <w:rPr>
          <w:rFonts w:ascii="Verdana" w:hAnsi="Verdana"/>
          <w:sz w:val="36"/>
          <w:szCs w:val="36"/>
        </w:rPr>
      </w:pPr>
    </w:p>
    <w:p w:rsidR="00A021F5" w:rsidRPr="00900F1D" w:rsidRDefault="00A021F5" w:rsidP="00A021F5">
      <w:pPr>
        <w:rPr>
          <w:rFonts w:ascii="Verdana" w:hAnsi="Verdana"/>
          <w:sz w:val="36"/>
          <w:szCs w:val="36"/>
        </w:rPr>
      </w:pPr>
      <w:r w:rsidRPr="00900F1D">
        <w:rPr>
          <w:rFonts w:ascii="Verdana" w:hAnsi="Verdana"/>
          <w:sz w:val="36"/>
          <w:szCs w:val="36"/>
        </w:rPr>
        <w:t xml:space="preserve">Il prend en compte </w:t>
      </w:r>
      <w:r>
        <w:rPr>
          <w:rFonts w:ascii="Verdana" w:hAnsi="Verdana"/>
          <w:sz w:val="36"/>
          <w:szCs w:val="36"/>
        </w:rPr>
        <w:t>la pérennisation</w:t>
      </w:r>
      <w:r w:rsidRPr="00900F1D">
        <w:rPr>
          <w:rFonts w:ascii="Verdana" w:hAnsi="Verdana"/>
          <w:sz w:val="36"/>
          <w:szCs w:val="36"/>
        </w:rPr>
        <w:t xml:space="preserve"> du lycée </w:t>
      </w:r>
      <w:r>
        <w:rPr>
          <w:rFonts w:ascii="Verdana" w:hAnsi="Verdana"/>
          <w:sz w:val="36"/>
          <w:szCs w:val="36"/>
        </w:rPr>
        <w:t>dans ses fonctions, sa situation, son implantation et ses filières, ainsi que la spécificité des publics accueillis.</w:t>
      </w:r>
      <w:r w:rsidRPr="00900F1D">
        <w:rPr>
          <w:rFonts w:ascii="Verdana" w:hAnsi="Verdana"/>
          <w:sz w:val="36"/>
          <w:szCs w:val="36"/>
        </w:rPr>
        <w:t xml:space="preserve"> </w:t>
      </w:r>
    </w:p>
    <w:p w:rsidR="00A021F5" w:rsidRDefault="00A021F5" w:rsidP="00A021F5">
      <w:pPr>
        <w:rPr>
          <w:rFonts w:ascii="Verdana" w:hAnsi="Verdana"/>
          <w:sz w:val="36"/>
          <w:szCs w:val="36"/>
        </w:rPr>
      </w:pPr>
    </w:p>
    <w:p w:rsidR="00A021F5" w:rsidRDefault="00A021F5" w:rsidP="00A021F5">
      <w:pPr>
        <w:rPr>
          <w:rFonts w:ascii="Verdana" w:hAnsi="Verdana"/>
          <w:sz w:val="36"/>
          <w:szCs w:val="36"/>
        </w:rPr>
      </w:pPr>
    </w:p>
    <w:p w:rsidR="00A021F5" w:rsidRPr="00900F1D" w:rsidRDefault="00A021F5" w:rsidP="00A021F5">
      <w:pPr>
        <w:rPr>
          <w:rFonts w:ascii="Verdana" w:hAnsi="Verdana"/>
          <w:sz w:val="36"/>
          <w:szCs w:val="36"/>
        </w:rPr>
      </w:pPr>
    </w:p>
    <w:p w:rsidR="00A021F5" w:rsidRPr="00665022" w:rsidRDefault="00A021F5" w:rsidP="00A021F5">
      <w:pPr>
        <w:rPr>
          <w:rFonts w:ascii="Verdana" w:hAnsi="Verdana"/>
          <w:sz w:val="48"/>
          <w:szCs w:val="48"/>
        </w:rPr>
      </w:pPr>
      <w:r w:rsidRPr="00900F1D">
        <w:rPr>
          <w:rFonts w:ascii="Verdana" w:hAnsi="Verdana"/>
          <w:sz w:val="36"/>
          <w:szCs w:val="36"/>
        </w:rPr>
        <w:t>Il s’inscrit dans le cadre du plan éducation Guyane et tient compte de la dimension locale, régionale et internationale de l’établissement.</w:t>
      </w:r>
    </w:p>
    <w:p w:rsidR="00A021F5" w:rsidRDefault="00A021F5" w:rsidP="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Default="00A021F5"/>
    <w:p w:rsidR="00A021F5" w:rsidRPr="00A021F5" w:rsidRDefault="00A021F5" w:rsidP="00A021F5">
      <w:pPr>
        <w:spacing w:after="200" w:line="276" w:lineRule="auto"/>
        <w:jc w:val="center"/>
        <w:rPr>
          <w:rFonts w:asciiTheme="minorHAnsi" w:eastAsiaTheme="minorHAnsi" w:hAnsiTheme="minorHAnsi" w:cstheme="minorBidi"/>
          <w:b/>
          <w:sz w:val="32"/>
          <w:szCs w:val="32"/>
          <w:u w:val="single"/>
          <w:lang w:eastAsia="en-US"/>
        </w:rPr>
      </w:pPr>
      <w:r w:rsidRPr="00A021F5">
        <w:rPr>
          <w:rFonts w:asciiTheme="minorHAnsi" w:eastAsiaTheme="minorHAnsi" w:hAnsiTheme="minorHAnsi" w:cstheme="minorBidi"/>
          <w:b/>
          <w:sz w:val="32"/>
          <w:szCs w:val="32"/>
          <w:u w:val="single"/>
          <w:lang w:eastAsia="en-US"/>
        </w:rPr>
        <w:lastRenderedPageBreak/>
        <w:t>Eléments chiffrés</w:t>
      </w:r>
    </w:p>
    <w:p w:rsidR="00A021F5" w:rsidRPr="00A021F5" w:rsidRDefault="00A021F5" w:rsidP="00A021F5">
      <w:pPr>
        <w:spacing w:after="200" w:line="276" w:lineRule="auto"/>
        <w:rPr>
          <w:rFonts w:asciiTheme="minorHAnsi" w:eastAsiaTheme="minorHAnsi" w:hAnsiTheme="minorHAnsi" w:cstheme="minorBidi"/>
          <w:b/>
          <w:sz w:val="28"/>
          <w:szCs w:val="28"/>
          <w:u w:val="single"/>
          <w:lang w:eastAsia="en-US"/>
        </w:rPr>
      </w:pPr>
      <w:r w:rsidRPr="00A021F5">
        <w:rPr>
          <w:rFonts w:asciiTheme="minorHAnsi" w:eastAsiaTheme="minorHAnsi" w:hAnsiTheme="minorHAnsi" w:cstheme="minorBidi"/>
          <w:b/>
          <w:sz w:val="28"/>
          <w:szCs w:val="28"/>
          <w:u w:val="single"/>
          <w:lang w:eastAsia="en-US"/>
        </w:rPr>
        <w:t>1. Population scolaire</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Le lycée polyvalent </w:t>
      </w:r>
      <w:proofErr w:type="spellStart"/>
      <w:r w:rsidRPr="00A021F5">
        <w:rPr>
          <w:rFonts w:asciiTheme="minorHAnsi" w:eastAsiaTheme="minorHAnsi" w:hAnsiTheme="minorHAnsi" w:cstheme="minorBidi"/>
          <w:sz w:val="22"/>
          <w:szCs w:val="22"/>
          <w:lang w:eastAsia="en-US"/>
        </w:rPr>
        <w:t>Lumina</w:t>
      </w:r>
      <w:proofErr w:type="spellEnd"/>
      <w:r w:rsidRPr="00A021F5">
        <w:rPr>
          <w:rFonts w:asciiTheme="minorHAnsi" w:eastAsiaTheme="minorHAnsi" w:hAnsiTheme="minorHAnsi" w:cstheme="minorBidi"/>
          <w:sz w:val="22"/>
          <w:szCs w:val="22"/>
          <w:lang w:eastAsia="en-US"/>
        </w:rPr>
        <w:t xml:space="preserve"> Sophie a ouvert à la rentrée 2003. Il accueillait alors 211 élèves. Ses effectifs se sont accrus jusqu’en 2008-2009. Suite à la mise en service d’un nouveau lycée professionnel à Saint-Laurent du Maroni, la carte des formations a été révisée. Le Lycée </w:t>
      </w:r>
      <w:proofErr w:type="spellStart"/>
      <w:r w:rsidRPr="00A021F5">
        <w:rPr>
          <w:rFonts w:asciiTheme="minorHAnsi" w:eastAsiaTheme="minorHAnsi" w:hAnsiTheme="minorHAnsi" w:cstheme="minorBidi"/>
          <w:sz w:val="22"/>
          <w:szCs w:val="22"/>
          <w:lang w:eastAsia="en-US"/>
        </w:rPr>
        <w:t>Lumina</w:t>
      </w:r>
      <w:proofErr w:type="spellEnd"/>
      <w:r w:rsidRPr="00A021F5">
        <w:rPr>
          <w:rFonts w:asciiTheme="minorHAnsi" w:eastAsiaTheme="minorHAnsi" w:hAnsiTheme="minorHAnsi" w:cstheme="minorBidi"/>
          <w:sz w:val="22"/>
          <w:szCs w:val="22"/>
          <w:lang w:eastAsia="en-US"/>
        </w:rPr>
        <w:t xml:space="preserve"> Sophie a reçu les sections tertiaires administratives du bassin tant à la SEP qu’au LGT. Il a perdu la plupart de ses sections industrielles, sanitaires et sociales.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Depuis cette date le pourcentage d’élèves de la SEP est inférieur à celui des élèves fréquentant le LGT. Les effectifs globaux sont stabilisés depuis 3 ans, la capacité d’accueil des locaux étant  contrainte par leur dimension et leur type de construction.</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b/>
          <w:sz w:val="22"/>
          <w:szCs w:val="22"/>
          <w:u w:val="single"/>
          <w:lang w:eastAsia="en-US"/>
        </w:rPr>
      </w:pPr>
      <w:r w:rsidRPr="00A021F5">
        <w:rPr>
          <w:rFonts w:asciiTheme="minorHAnsi" w:eastAsiaTheme="minorHAnsi" w:hAnsiTheme="minorHAnsi" w:cstheme="minorBidi"/>
          <w:b/>
          <w:sz w:val="22"/>
          <w:szCs w:val="22"/>
          <w:u w:val="single"/>
          <w:lang w:eastAsia="en-US"/>
        </w:rPr>
        <w:t>Evolution des effectifs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noProof/>
          <w:sz w:val="22"/>
          <w:szCs w:val="22"/>
        </w:rPr>
        <w:drawing>
          <wp:inline distT="0" distB="0" distL="0" distR="0" wp14:anchorId="11920329" wp14:editId="298FE69B">
            <wp:extent cx="6238875" cy="2800350"/>
            <wp:effectExtent l="0" t="0" r="9525"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tbl>
      <w:tblPr>
        <w:tblW w:w="9818" w:type="dxa"/>
        <w:tblInd w:w="59" w:type="dxa"/>
        <w:tblCellMar>
          <w:left w:w="70" w:type="dxa"/>
          <w:right w:w="70" w:type="dxa"/>
        </w:tblCellMar>
        <w:tblLook w:val="04A0" w:firstRow="1" w:lastRow="0" w:firstColumn="1" w:lastColumn="0" w:noHBand="0" w:noVBand="1"/>
      </w:tblPr>
      <w:tblGrid>
        <w:gridCol w:w="874"/>
        <w:gridCol w:w="630"/>
        <w:gridCol w:w="634"/>
        <w:gridCol w:w="708"/>
        <w:gridCol w:w="709"/>
        <w:gridCol w:w="709"/>
        <w:gridCol w:w="850"/>
        <w:gridCol w:w="851"/>
        <w:gridCol w:w="850"/>
        <w:gridCol w:w="709"/>
        <w:gridCol w:w="709"/>
        <w:gridCol w:w="850"/>
        <w:gridCol w:w="735"/>
      </w:tblGrid>
      <w:tr w:rsidR="00A021F5" w:rsidRPr="00A021F5" w:rsidTr="00C722C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rPr>
                <w:rFonts w:ascii="Arial" w:eastAsiaTheme="minorHAnsi" w:hAnsi="Arial" w:cs="Arial"/>
                <w:b/>
                <w:bCs/>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2004</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2010</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2011</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2012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2013</w:t>
            </w:r>
          </w:p>
        </w:tc>
        <w:tc>
          <w:tcPr>
            <w:tcW w:w="850" w:type="dxa"/>
            <w:tcBorders>
              <w:top w:val="single" w:sz="4" w:space="0" w:color="auto"/>
              <w:bottom w:val="single" w:sz="4" w:space="0" w:color="auto"/>
              <w:right w:val="single" w:sz="4" w:space="0" w:color="auto"/>
            </w:tcBorders>
          </w:tcPr>
          <w:p w:rsidR="00A021F5" w:rsidRPr="00A021F5" w:rsidRDefault="00A021F5" w:rsidP="00A021F5">
            <w:pPr>
              <w:spacing w:after="200" w:line="276" w:lineRule="auto"/>
              <w:jc w:val="center"/>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2014</w:t>
            </w:r>
          </w:p>
        </w:tc>
        <w:tc>
          <w:tcPr>
            <w:tcW w:w="735" w:type="dxa"/>
            <w:tcBorders>
              <w:top w:val="single" w:sz="4" w:space="0" w:color="auto"/>
              <w:bottom w:val="single" w:sz="4" w:space="0" w:color="auto"/>
              <w:right w:val="single" w:sz="4" w:space="0" w:color="auto"/>
            </w:tcBorders>
            <w:shd w:val="clear" w:color="auto" w:fill="auto"/>
          </w:tcPr>
          <w:p w:rsidR="00A021F5" w:rsidRPr="00A021F5" w:rsidRDefault="00A021F5" w:rsidP="00A021F5">
            <w:pPr>
              <w:spacing w:after="200" w:line="276" w:lineRule="auto"/>
              <w:rPr>
                <w:rFonts w:ascii="Arial" w:eastAsiaTheme="minorHAnsi" w:hAnsi="Arial" w:cs="Arial"/>
                <w:b/>
                <w:sz w:val="22"/>
                <w:szCs w:val="22"/>
                <w:lang w:eastAsia="en-US"/>
              </w:rPr>
            </w:pPr>
            <w:r w:rsidRPr="00A021F5">
              <w:rPr>
                <w:rFonts w:ascii="Arial" w:eastAsiaTheme="minorHAnsi" w:hAnsi="Arial" w:cs="Arial"/>
                <w:b/>
                <w:sz w:val="22"/>
                <w:szCs w:val="22"/>
                <w:lang w:eastAsia="en-US"/>
              </w:rPr>
              <w:t>2015</w:t>
            </w:r>
          </w:p>
        </w:tc>
      </w:tr>
      <w:tr w:rsidR="00A021F5" w:rsidRPr="00A021F5" w:rsidTr="00C722C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LGT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156</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225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414</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389</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334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401</w:t>
            </w:r>
          </w:p>
        </w:tc>
        <w:tc>
          <w:tcPr>
            <w:tcW w:w="850" w:type="dxa"/>
            <w:tcBorders>
              <w:top w:val="single" w:sz="4" w:space="0" w:color="auto"/>
              <w:bottom w:val="single" w:sz="4" w:space="0" w:color="auto"/>
              <w:right w:val="single" w:sz="4" w:space="0" w:color="auto"/>
            </w:tcBorders>
          </w:tcPr>
          <w:p w:rsidR="00A021F5" w:rsidRPr="00A021F5" w:rsidRDefault="00A021F5" w:rsidP="00A021F5">
            <w:pPr>
              <w:spacing w:after="200" w:line="276" w:lineRule="auto"/>
              <w:jc w:val="center"/>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407</w:t>
            </w:r>
          </w:p>
        </w:tc>
        <w:tc>
          <w:tcPr>
            <w:tcW w:w="735" w:type="dxa"/>
            <w:tcBorders>
              <w:top w:val="single" w:sz="4" w:space="0" w:color="auto"/>
              <w:bottom w:val="single" w:sz="4" w:space="0" w:color="auto"/>
              <w:right w:val="single" w:sz="4" w:space="0" w:color="auto"/>
            </w:tcBorders>
            <w:shd w:val="clear" w:color="auto" w:fill="auto"/>
          </w:tcPr>
          <w:p w:rsidR="00A021F5" w:rsidRPr="00A021F5" w:rsidRDefault="00A021F5" w:rsidP="00A021F5">
            <w:pPr>
              <w:spacing w:after="200" w:line="276" w:lineRule="auto"/>
              <w:rPr>
                <w:rFonts w:ascii="Arial" w:eastAsiaTheme="minorHAnsi" w:hAnsi="Arial" w:cs="Arial"/>
                <w:b/>
                <w:sz w:val="22"/>
                <w:szCs w:val="22"/>
                <w:lang w:eastAsia="en-US"/>
              </w:rPr>
            </w:pPr>
            <w:r w:rsidRPr="00A021F5">
              <w:rPr>
                <w:rFonts w:ascii="Arial" w:eastAsiaTheme="minorHAnsi" w:hAnsi="Arial" w:cs="Arial"/>
                <w:b/>
                <w:sz w:val="22"/>
                <w:szCs w:val="22"/>
                <w:lang w:eastAsia="en-US"/>
              </w:rPr>
              <w:t>433</w:t>
            </w:r>
          </w:p>
        </w:tc>
      </w:tr>
      <w:tr w:rsidR="00A021F5" w:rsidRPr="00A021F5" w:rsidTr="00C722C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SEP</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289</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385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504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534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275</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314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306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299</w:t>
            </w:r>
          </w:p>
        </w:tc>
        <w:tc>
          <w:tcPr>
            <w:tcW w:w="850" w:type="dxa"/>
            <w:tcBorders>
              <w:top w:val="single" w:sz="4" w:space="0" w:color="auto"/>
              <w:bottom w:val="single" w:sz="4" w:space="0" w:color="auto"/>
              <w:right w:val="single" w:sz="4" w:space="0" w:color="auto"/>
            </w:tcBorders>
          </w:tcPr>
          <w:p w:rsidR="00A021F5" w:rsidRPr="00A021F5" w:rsidRDefault="00A021F5" w:rsidP="00A021F5">
            <w:pPr>
              <w:spacing w:after="200" w:line="276" w:lineRule="auto"/>
              <w:jc w:val="center"/>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309</w:t>
            </w:r>
          </w:p>
        </w:tc>
        <w:tc>
          <w:tcPr>
            <w:tcW w:w="735" w:type="dxa"/>
            <w:tcBorders>
              <w:top w:val="single" w:sz="4" w:space="0" w:color="auto"/>
              <w:bottom w:val="single" w:sz="4" w:space="0" w:color="auto"/>
              <w:right w:val="single" w:sz="4" w:space="0" w:color="auto"/>
            </w:tcBorders>
            <w:shd w:val="clear" w:color="auto" w:fill="auto"/>
          </w:tcPr>
          <w:p w:rsidR="00A021F5" w:rsidRPr="00A021F5" w:rsidRDefault="00A021F5" w:rsidP="00A021F5">
            <w:pPr>
              <w:spacing w:after="200" w:line="276" w:lineRule="auto"/>
              <w:rPr>
                <w:rFonts w:ascii="Arial" w:eastAsiaTheme="minorHAnsi" w:hAnsi="Arial" w:cs="Arial"/>
                <w:b/>
                <w:sz w:val="22"/>
                <w:szCs w:val="22"/>
                <w:lang w:eastAsia="en-US"/>
              </w:rPr>
            </w:pPr>
            <w:r w:rsidRPr="00A021F5">
              <w:rPr>
                <w:rFonts w:ascii="Arial" w:eastAsiaTheme="minorHAnsi" w:hAnsi="Arial" w:cs="Arial"/>
                <w:b/>
                <w:sz w:val="22"/>
                <w:szCs w:val="22"/>
                <w:lang w:eastAsia="en-US"/>
              </w:rPr>
              <w:t>304</w:t>
            </w:r>
          </w:p>
        </w:tc>
      </w:tr>
      <w:tr w:rsidR="00A021F5" w:rsidRPr="00A021F5" w:rsidTr="00C722C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BTS</w:t>
            </w:r>
          </w:p>
        </w:tc>
        <w:tc>
          <w:tcPr>
            <w:tcW w:w="6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021F5" w:rsidRPr="00A021F5" w:rsidRDefault="00A021F5" w:rsidP="00A021F5">
            <w:pPr>
              <w:spacing w:after="200" w:line="276" w:lineRule="auto"/>
              <w:jc w:val="right"/>
              <w:rPr>
                <w:rFonts w:ascii="Arial" w:eastAsiaTheme="minorHAnsi" w:hAnsi="Arial" w:cs="Arial"/>
                <w:b/>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28</w:t>
            </w:r>
          </w:p>
        </w:tc>
        <w:tc>
          <w:tcPr>
            <w:tcW w:w="850" w:type="dxa"/>
            <w:tcBorders>
              <w:top w:val="single" w:sz="4" w:space="0" w:color="auto"/>
              <w:bottom w:val="single" w:sz="4" w:space="0" w:color="auto"/>
              <w:right w:val="single" w:sz="4" w:space="0" w:color="auto"/>
            </w:tcBorders>
          </w:tcPr>
          <w:p w:rsidR="00A021F5" w:rsidRPr="00A021F5" w:rsidRDefault="00A021F5" w:rsidP="00A021F5">
            <w:pPr>
              <w:spacing w:after="200" w:line="276" w:lineRule="auto"/>
              <w:jc w:val="center"/>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20</w:t>
            </w:r>
          </w:p>
        </w:tc>
        <w:tc>
          <w:tcPr>
            <w:tcW w:w="735" w:type="dxa"/>
            <w:tcBorders>
              <w:top w:val="single" w:sz="4" w:space="0" w:color="auto"/>
              <w:bottom w:val="single" w:sz="4" w:space="0" w:color="auto"/>
              <w:right w:val="single" w:sz="4" w:space="0" w:color="auto"/>
            </w:tcBorders>
            <w:shd w:val="clear" w:color="auto" w:fill="auto"/>
          </w:tcPr>
          <w:p w:rsidR="00A021F5" w:rsidRPr="00A021F5" w:rsidRDefault="00A021F5" w:rsidP="00A021F5">
            <w:pPr>
              <w:spacing w:after="200" w:line="276" w:lineRule="auto"/>
              <w:rPr>
                <w:rFonts w:ascii="Arial" w:eastAsiaTheme="minorHAnsi" w:hAnsi="Arial" w:cs="Arial"/>
                <w:b/>
                <w:sz w:val="22"/>
                <w:szCs w:val="22"/>
                <w:lang w:eastAsia="en-US"/>
              </w:rPr>
            </w:pPr>
            <w:r w:rsidRPr="00A021F5">
              <w:rPr>
                <w:rFonts w:ascii="Arial" w:eastAsiaTheme="minorHAnsi" w:hAnsi="Arial" w:cs="Arial"/>
                <w:b/>
                <w:sz w:val="22"/>
                <w:szCs w:val="22"/>
                <w:lang w:eastAsia="en-US"/>
              </w:rPr>
              <w:t>21</w:t>
            </w:r>
          </w:p>
        </w:tc>
      </w:tr>
      <w:tr w:rsidR="00A021F5" w:rsidRPr="00A021F5" w:rsidTr="00C722C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EFF TOTAL</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445</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610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781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851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906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689</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p>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703</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p>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656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spacing w:after="200" w:line="276" w:lineRule="auto"/>
              <w:jc w:val="right"/>
              <w:rPr>
                <w:rFonts w:ascii="Arial" w:eastAsiaTheme="minorHAnsi" w:hAnsi="Arial" w:cs="Arial"/>
                <w:b/>
                <w:bCs/>
                <w:sz w:val="22"/>
                <w:szCs w:val="22"/>
                <w:lang w:eastAsia="en-US"/>
              </w:rPr>
            </w:pPr>
          </w:p>
          <w:p w:rsidR="00A021F5" w:rsidRPr="00A021F5" w:rsidRDefault="00A021F5" w:rsidP="00A021F5">
            <w:pPr>
              <w:spacing w:after="200" w:line="276" w:lineRule="auto"/>
              <w:jc w:val="right"/>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728</w:t>
            </w:r>
          </w:p>
        </w:tc>
        <w:tc>
          <w:tcPr>
            <w:tcW w:w="850" w:type="dxa"/>
            <w:tcBorders>
              <w:top w:val="single" w:sz="4" w:space="0" w:color="auto"/>
              <w:bottom w:val="single" w:sz="4" w:space="0" w:color="auto"/>
              <w:right w:val="single" w:sz="4" w:space="0" w:color="auto"/>
            </w:tcBorders>
            <w:vAlign w:val="bottom"/>
          </w:tcPr>
          <w:p w:rsidR="00A021F5" w:rsidRPr="00A021F5" w:rsidRDefault="00A021F5" w:rsidP="00A021F5">
            <w:pPr>
              <w:spacing w:after="200" w:line="276" w:lineRule="auto"/>
              <w:jc w:val="center"/>
              <w:rPr>
                <w:rFonts w:ascii="Arial" w:eastAsiaTheme="minorHAnsi" w:hAnsi="Arial" w:cs="Arial"/>
                <w:b/>
                <w:bCs/>
                <w:sz w:val="22"/>
                <w:szCs w:val="22"/>
                <w:lang w:eastAsia="en-US"/>
              </w:rPr>
            </w:pPr>
            <w:r w:rsidRPr="00A021F5">
              <w:rPr>
                <w:rFonts w:ascii="Arial" w:eastAsiaTheme="minorHAnsi" w:hAnsi="Arial" w:cs="Arial"/>
                <w:b/>
                <w:bCs/>
                <w:sz w:val="22"/>
                <w:szCs w:val="22"/>
                <w:lang w:eastAsia="en-US"/>
              </w:rPr>
              <w:t>746</w:t>
            </w:r>
          </w:p>
        </w:tc>
        <w:tc>
          <w:tcPr>
            <w:tcW w:w="735" w:type="dxa"/>
            <w:tcBorders>
              <w:top w:val="single" w:sz="4" w:space="0" w:color="auto"/>
              <w:bottom w:val="single" w:sz="4" w:space="0" w:color="auto"/>
              <w:right w:val="single" w:sz="4" w:space="0" w:color="auto"/>
            </w:tcBorders>
            <w:shd w:val="clear" w:color="auto" w:fill="auto"/>
          </w:tcPr>
          <w:p w:rsidR="00A021F5" w:rsidRPr="00A021F5" w:rsidRDefault="00A021F5" w:rsidP="00A021F5">
            <w:pPr>
              <w:spacing w:after="200" w:line="276" w:lineRule="auto"/>
              <w:rPr>
                <w:rFonts w:ascii="Arial" w:eastAsiaTheme="minorHAnsi" w:hAnsi="Arial" w:cs="Arial"/>
                <w:b/>
                <w:sz w:val="22"/>
                <w:szCs w:val="22"/>
                <w:lang w:eastAsia="en-US"/>
              </w:rPr>
            </w:pPr>
          </w:p>
          <w:p w:rsidR="00A021F5" w:rsidRPr="00A021F5" w:rsidRDefault="00A021F5" w:rsidP="00A021F5">
            <w:pPr>
              <w:spacing w:after="200" w:line="276" w:lineRule="auto"/>
              <w:rPr>
                <w:rFonts w:ascii="Arial" w:eastAsiaTheme="minorHAnsi" w:hAnsi="Arial" w:cs="Arial"/>
                <w:b/>
                <w:sz w:val="22"/>
                <w:szCs w:val="22"/>
                <w:lang w:eastAsia="en-US"/>
              </w:rPr>
            </w:pPr>
            <w:r w:rsidRPr="00A021F5">
              <w:rPr>
                <w:rFonts w:ascii="Arial" w:eastAsiaTheme="minorHAnsi" w:hAnsi="Arial" w:cs="Arial"/>
                <w:b/>
                <w:sz w:val="22"/>
                <w:szCs w:val="22"/>
                <w:lang w:eastAsia="en-US"/>
              </w:rPr>
              <w:t>758</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Default="00A021F5" w:rsidP="00A021F5">
      <w:pPr>
        <w:rPr>
          <w:rFonts w:ascii="Calibri" w:hAnsi="Calibri"/>
          <w:b/>
          <w:sz w:val="28"/>
          <w:szCs w:val="28"/>
          <w:u w:val="single"/>
        </w:rPr>
      </w:pPr>
    </w:p>
    <w:p w:rsidR="00A021F5" w:rsidRPr="00A021F5" w:rsidRDefault="00A021F5" w:rsidP="00A021F5">
      <w:pPr>
        <w:rPr>
          <w:rFonts w:ascii="Calibri" w:hAnsi="Calibri"/>
          <w:u w:val="single"/>
        </w:rPr>
      </w:pPr>
      <w:r w:rsidRPr="00A021F5">
        <w:rPr>
          <w:rFonts w:ascii="Calibri" w:hAnsi="Calibri"/>
          <w:b/>
          <w:sz w:val="28"/>
          <w:szCs w:val="28"/>
          <w:u w:val="single"/>
        </w:rPr>
        <w:lastRenderedPageBreak/>
        <w:t>2.  Caractéristiques de la population scolaire :</w:t>
      </w:r>
      <w:r w:rsidRPr="00A021F5">
        <w:rPr>
          <w:rFonts w:ascii="Calibri" w:hAnsi="Calibri"/>
          <w:u w:val="single"/>
        </w:rPr>
        <w:t xml:space="preserve"> </w:t>
      </w:r>
    </w:p>
    <w:p w:rsidR="00A021F5" w:rsidRPr="00A021F5" w:rsidRDefault="00A021F5" w:rsidP="00A021F5">
      <w:pPr>
        <w:rPr>
          <w:rFonts w:ascii="Calibri" w:hAnsi="Calibri"/>
        </w:rPr>
      </w:pPr>
    </w:p>
    <w:tbl>
      <w:tblPr>
        <w:tblStyle w:val="Grilledutableau"/>
        <w:tblW w:w="9753" w:type="dxa"/>
        <w:tblLook w:val="04A0" w:firstRow="1" w:lastRow="0" w:firstColumn="1" w:lastColumn="0" w:noHBand="0" w:noVBand="1"/>
      </w:tblPr>
      <w:tblGrid>
        <w:gridCol w:w="1668"/>
        <w:gridCol w:w="1417"/>
        <w:gridCol w:w="1134"/>
        <w:gridCol w:w="1134"/>
        <w:gridCol w:w="1134"/>
        <w:gridCol w:w="1134"/>
        <w:gridCol w:w="992"/>
        <w:gridCol w:w="1140"/>
      </w:tblGrid>
      <w:tr w:rsidR="00A021F5" w:rsidRPr="00A021F5" w:rsidTr="00C722CB">
        <w:trPr>
          <w:trHeight w:val="100"/>
        </w:trPr>
        <w:tc>
          <w:tcPr>
            <w:tcW w:w="1668" w:type="dxa"/>
            <w:vMerge w:val="restart"/>
          </w:tcPr>
          <w:p w:rsidR="00A021F5" w:rsidRPr="00A021F5" w:rsidRDefault="00A021F5" w:rsidP="00A021F5">
            <w:pPr>
              <w:rPr>
                <w:sz w:val="20"/>
                <w:szCs w:val="20"/>
                <w:lang w:eastAsia="en-US"/>
              </w:rPr>
            </w:pPr>
          </w:p>
        </w:tc>
        <w:tc>
          <w:tcPr>
            <w:tcW w:w="1417" w:type="dxa"/>
            <w:vMerge w:val="restart"/>
          </w:tcPr>
          <w:p w:rsidR="00A021F5" w:rsidRPr="00A021F5" w:rsidRDefault="00A021F5" w:rsidP="00A021F5">
            <w:pPr>
              <w:jc w:val="center"/>
              <w:rPr>
                <w:b/>
                <w:sz w:val="20"/>
                <w:szCs w:val="20"/>
                <w:lang w:eastAsia="en-US"/>
              </w:rPr>
            </w:pPr>
            <w:r w:rsidRPr="00A021F5">
              <w:rPr>
                <w:b/>
                <w:sz w:val="20"/>
                <w:szCs w:val="20"/>
                <w:lang w:eastAsia="en-US"/>
              </w:rPr>
              <w:t>2009</w:t>
            </w:r>
          </w:p>
        </w:tc>
        <w:tc>
          <w:tcPr>
            <w:tcW w:w="1134" w:type="dxa"/>
            <w:vMerge w:val="restart"/>
          </w:tcPr>
          <w:p w:rsidR="00A021F5" w:rsidRPr="00A021F5" w:rsidRDefault="00A021F5" w:rsidP="00A021F5">
            <w:pPr>
              <w:jc w:val="center"/>
              <w:rPr>
                <w:b/>
                <w:sz w:val="20"/>
                <w:szCs w:val="20"/>
                <w:lang w:eastAsia="en-US"/>
              </w:rPr>
            </w:pPr>
            <w:r w:rsidRPr="00A021F5">
              <w:rPr>
                <w:b/>
                <w:sz w:val="20"/>
                <w:szCs w:val="20"/>
                <w:lang w:eastAsia="en-US"/>
              </w:rPr>
              <w:t>2010</w:t>
            </w:r>
          </w:p>
        </w:tc>
        <w:tc>
          <w:tcPr>
            <w:tcW w:w="1134" w:type="dxa"/>
            <w:vMerge w:val="restart"/>
          </w:tcPr>
          <w:p w:rsidR="00A021F5" w:rsidRPr="00A021F5" w:rsidRDefault="00A021F5" w:rsidP="00A021F5">
            <w:pPr>
              <w:jc w:val="center"/>
              <w:rPr>
                <w:b/>
                <w:sz w:val="20"/>
                <w:szCs w:val="20"/>
                <w:lang w:eastAsia="en-US"/>
              </w:rPr>
            </w:pPr>
            <w:r w:rsidRPr="00A021F5">
              <w:rPr>
                <w:b/>
                <w:sz w:val="20"/>
                <w:szCs w:val="20"/>
                <w:lang w:eastAsia="en-US"/>
              </w:rPr>
              <w:t>2011</w:t>
            </w:r>
          </w:p>
        </w:tc>
        <w:tc>
          <w:tcPr>
            <w:tcW w:w="1134" w:type="dxa"/>
            <w:vMerge w:val="restart"/>
          </w:tcPr>
          <w:p w:rsidR="00A021F5" w:rsidRPr="00A021F5" w:rsidRDefault="00A021F5" w:rsidP="00A021F5">
            <w:pPr>
              <w:jc w:val="center"/>
              <w:rPr>
                <w:b/>
                <w:sz w:val="20"/>
                <w:szCs w:val="20"/>
                <w:lang w:eastAsia="en-US"/>
              </w:rPr>
            </w:pPr>
            <w:r w:rsidRPr="00A021F5">
              <w:rPr>
                <w:b/>
                <w:sz w:val="20"/>
                <w:szCs w:val="20"/>
                <w:lang w:eastAsia="en-US"/>
              </w:rPr>
              <w:t>2012</w:t>
            </w:r>
          </w:p>
        </w:tc>
        <w:tc>
          <w:tcPr>
            <w:tcW w:w="1134" w:type="dxa"/>
            <w:vMerge w:val="restart"/>
            <w:tcBorders>
              <w:right w:val="single" w:sz="4" w:space="0" w:color="auto"/>
            </w:tcBorders>
          </w:tcPr>
          <w:p w:rsidR="00A021F5" w:rsidRPr="00A021F5" w:rsidRDefault="00A021F5" w:rsidP="00A021F5">
            <w:pPr>
              <w:jc w:val="center"/>
              <w:rPr>
                <w:b/>
                <w:sz w:val="20"/>
                <w:szCs w:val="20"/>
                <w:lang w:eastAsia="en-US"/>
              </w:rPr>
            </w:pPr>
            <w:r w:rsidRPr="00A021F5">
              <w:rPr>
                <w:b/>
                <w:sz w:val="20"/>
                <w:szCs w:val="20"/>
                <w:lang w:eastAsia="en-US"/>
              </w:rPr>
              <w:t>2013</w:t>
            </w:r>
          </w:p>
        </w:tc>
        <w:tc>
          <w:tcPr>
            <w:tcW w:w="992" w:type="dxa"/>
            <w:tcBorders>
              <w:top w:val="single" w:sz="4" w:space="0" w:color="auto"/>
              <w:left w:val="single" w:sz="4" w:space="0" w:color="auto"/>
              <w:bottom w:val="nil"/>
              <w:right w:val="single" w:sz="4" w:space="0" w:color="auto"/>
            </w:tcBorders>
          </w:tcPr>
          <w:p w:rsidR="00A021F5" w:rsidRPr="00A021F5" w:rsidRDefault="00A021F5" w:rsidP="00A021F5">
            <w:pPr>
              <w:jc w:val="center"/>
              <w:rPr>
                <w:b/>
                <w:sz w:val="20"/>
                <w:szCs w:val="20"/>
                <w:lang w:eastAsia="en-US"/>
              </w:rPr>
            </w:pPr>
            <w:r w:rsidRPr="00A021F5">
              <w:rPr>
                <w:b/>
                <w:sz w:val="20"/>
                <w:szCs w:val="20"/>
                <w:lang w:eastAsia="en-US"/>
              </w:rPr>
              <w:t>2014</w:t>
            </w:r>
          </w:p>
        </w:tc>
        <w:tc>
          <w:tcPr>
            <w:tcW w:w="1140" w:type="dxa"/>
            <w:vMerge w:val="restart"/>
            <w:tcBorders>
              <w:bottom w:val="nil"/>
            </w:tcBorders>
            <w:shd w:val="clear" w:color="auto" w:fill="auto"/>
          </w:tcPr>
          <w:p w:rsidR="00A021F5" w:rsidRPr="00A021F5" w:rsidRDefault="00A021F5" w:rsidP="00A021F5">
            <w:pPr>
              <w:rPr>
                <w:sz w:val="20"/>
                <w:szCs w:val="20"/>
                <w:lang w:eastAsia="en-US"/>
              </w:rPr>
            </w:pPr>
            <w:r w:rsidRPr="00A021F5">
              <w:rPr>
                <w:sz w:val="20"/>
                <w:szCs w:val="20"/>
                <w:lang w:eastAsia="en-US"/>
              </w:rPr>
              <w:t>2015</w:t>
            </w:r>
          </w:p>
        </w:tc>
      </w:tr>
      <w:tr w:rsidR="00A021F5" w:rsidRPr="00A021F5" w:rsidTr="00C722CB">
        <w:trPr>
          <w:trHeight w:val="99"/>
        </w:trPr>
        <w:tc>
          <w:tcPr>
            <w:tcW w:w="1668" w:type="dxa"/>
            <w:vMerge/>
          </w:tcPr>
          <w:p w:rsidR="00A021F5" w:rsidRPr="00A021F5" w:rsidRDefault="00A021F5" w:rsidP="00A021F5">
            <w:pPr>
              <w:rPr>
                <w:sz w:val="20"/>
                <w:szCs w:val="20"/>
                <w:lang w:eastAsia="en-US"/>
              </w:rPr>
            </w:pPr>
          </w:p>
        </w:tc>
        <w:tc>
          <w:tcPr>
            <w:tcW w:w="1417" w:type="dxa"/>
            <w:vMerge/>
          </w:tcPr>
          <w:p w:rsidR="00A021F5" w:rsidRPr="00A021F5" w:rsidRDefault="00A021F5" w:rsidP="00A021F5">
            <w:pPr>
              <w:jc w:val="center"/>
              <w:rPr>
                <w:b/>
                <w:sz w:val="20"/>
                <w:szCs w:val="20"/>
                <w:lang w:eastAsia="en-US"/>
              </w:rPr>
            </w:pPr>
          </w:p>
        </w:tc>
        <w:tc>
          <w:tcPr>
            <w:tcW w:w="1134" w:type="dxa"/>
            <w:vMerge/>
          </w:tcPr>
          <w:p w:rsidR="00A021F5" w:rsidRPr="00A021F5" w:rsidRDefault="00A021F5" w:rsidP="00A021F5">
            <w:pPr>
              <w:jc w:val="center"/>
              <w:rPr>
                <w:b/>
                <w:sz w:val="20"/>
                <w:szCs w:val="20"/>
                <w:lang w:eastAsia="en-US"/>
              </w:rPr>
            </w:pPr>
          </w:p>
        </w:tc>
        <w:tc>
          <w:tcPr>
            <w:tcW w:w="1134" w:type="dxa"/>
            <w:vMerge/>
          </w:tcPr>
          <w:p w:rsidR="00A021F5" w:rsidRPr="00A021F5" w:rsidRDefault="00A021F5" w:rsidP="00A021F5">
            <w:pPr>
              <w:jc w:val="center"/>
              <w:rPr>
                <w:b/>
                <w:sz w:val="20"/>
                <w:szCs w:val="20"/>
                <w:lang w:eastAsia="en-US"/>
              </w:rPr>
            </w:pPr>
          </w:p>
        </w:tc>
        <w:tc>
          <w:tcPr>
            <w:tcW w:w="1134" w:type="dxa"/>
            <w:vMerge/>
          </w:tcPr>
          <w:p w:rsidR="00A021F5" w:rsidRPr="00A021F5" w:rsidRDefault="00A021F5" w:rsidP="00A021F5">
            <w:pPr>
              <w:jc w:val="center"/>
              <w:rPr>
                <w:b/>
                <w:sz w:val="20"/>
                <w:szCs w:val="20"/>
                <w:lang w:eastAsia="en-US"/>
              </w:rPr>
            </w:pPr>
          </w:p>
        </w:tc>
        <w:tc>
          <w:tcPr>
            <w:tcW w:w="1134" w:type="dxa"/>
            <w:vMerge/>
          </w:tcPr>
          <w:p w:rsidR="00A021F5" w:rsidRPr="00A021F5" w:rsidRDefault="00A021F5" w:rsidP="00A021F5">
            <w:pPr>
              <w:jc w:val="center"/>
              <w:rPr>
                <w:b/>
                <w:sz w:val="20"/>
                <w:szCs w:val="20"/>
                <w:lang w:eastAsia="en-US"/>
              </w:rPr>
            </w:pPr>
          </w:p>
        </w:tc>
        <w:tc>
          <w:tcPr>
            <w:tcW w:w="992" w:type="dxa"/>
            <w:tcBorders>
              <w:top w:val="nil"/>
            </w:tcBorders>
          </w:tcPr>
          <w:p w:rsidR="00A021F5" w:rsidRPr="00A021F5" w:rsidRDefault="00A021F5" w:rsidP="00A021F5">
            <w:pPr>
              <w:jc w:val="center"/>
              <w:rPr>
                <w:b/>
                <w:sz w:val="20"/>
                <w:szCs w:val="20"/>
                <w:lang w:eastAsia="en-US"/>
              </w:rPr>
            </w:pPr>
          </w:p>
        </w:tc>
        <w:tc>
          <w:tcPr>
            <w:tcW w:w="1140" w:type="dxa"/>
            <w:vMerge/>
            <w:tcBorders>
              <w:bottom w:val="single" w:sz="4" w:space="0" w:color="auto"/>
            </w:tcBorders>
            <w:shd w:val="clear" w:color="auto" w:fill="auto"/>
          </w:tcPr>
          <w:p w:rsidR="00A021F5" w:rsidRPr="00A021F5" w:rsidRDefault="00A021F5" w:rsidP="00A021F5">
            <w:pPr>
              <w:rPr>
                <w:sz w:val="20"/>
                <w:szCs w:val="20"/>
                <w:lang w:eastAsia="en-US"/>
              </w:rPr>
            </w:pPr>
          </w:p>
        </w:tc>
      </w:tr>
      <w:tr w:rsidR="00A021F5" w:rsidRPr="00A021F5" w:rsidTr="00C722CB">
        <w:tc>
          <w:tcPr>
            <w:tcW w:w="1668" w:type="dxa"/>
          </w:tcPr>
          <w:p w:rsidR="00A021F5" w:rsidRPr="00A021F5" w:rsidRDefault="00A021F5" w:rsidP="00A021F5">
            <w:pPr>
              <w:rPr>
                <w:sz w:val="20"/>
                <w:szCs w:val="20"/>
                <w:lang w:eastAsia="en-US"/>
              </w:rPr>
            </w:pPr>
            <w:r w:rsidRPr="00A021F5">
              <w:rPr>
                <w:sz w:val="20"/>
                <w:szCs w:val="20"/>
                <w:lang w:eastAsia="en-US"/>
              </w:rPr>
              <w:t xml:space="preserve">CSP DEF </w:t>
            </w:r>
          </w:p>
        </w:tc>
        <w:tc>
          <w:tcPr>
            <w:tcW w:w="1417" w:type="dxa"/>
          </w:tcPr>
          <w:p w:rsidR="00A021F5" w:rsidRPr="00A021F5" w:rsidRDefault="00A021F5" w:rsidP="00A021F5">
            <w:pPr>
              <w:jc w:val="center"/>
              <w:rPr>
                <w:sz w:val="20"/>
                <w:szCs w:val="20"/>
                <w:lang w:eastAsia="en-US"/>
              </w:rPr>
            </w:pPr>
            <w:r w:rsidRPr="00A021F5">
              <w:rPr>
                <w:sz w:val="20"/>
                <w:szCs w:val="20"/>
                <w:lang w:eastAsia="en-US"/>
              </w:rPr>
              <w:t>76,5%</w:t>
            </w:r>
          </w:p>
        </w:tc>
        <w:tc>
          <w:tcPr>
            <w:tcW w:w="1134" w:type="dxa"/>
          </w:tcPr>
          <w:p w:rsidR="00A021F5" w:rsidRPr="00A021F5" w:rsidRDefault="00A021F5" w:rsidP="00A021F5">
            <w:pPr>
              <w:jc w:val="center"/>
              <w:rPr>
                <w:sz w:val="20"/>
                <w:szCs w:val="20"/>
                <w:lang w:eastAsia="en-US"/>
              </w:rPr>
            </w:pPr>
            <w:r w:rsidRPr="00A021F5">
              <w:rPr>
                <w:sz w:val="20"/>
                <w:szCs w:val="20"/>
                <w:lang w:eastAsia="en-US"/>
              </w:rPr>
              <w:t>79,7%</w:t>
            </w:r>
          </w:p>
        </w:tc>
        <w:tc>
          <w:tcPr>
            <w:tcW w:w="1134" w:type="dxa"/>
          </w:tcPr>
          <w:p w:rsidR="00A021F5" w:rsidRPr="00A021F5" w:rsidRDefault="00A021F5" w:rsidP="00A021F5">
            <w:pPr>
              <w:jc w:val="center"/>
              <w:rPr>
                <w:sz w:val="20"/>
                <w:szCs w:val="20"/>
                <w:lang w:eastAsia="en-US"/>
              </w:rPr>
            </w:pPr>
            <w:r w:rsidRPr="00A021F5">
              <w:rPr>
                <w:sz w:val="20"/>
                <w:szCs w:val="20"/>
                <w:lang w:eastAsia="en-US"/>
              </w:rPr>
              <w:t>72,5%</w:t>
            </w:r>
          </w:p>
        </w:tc>
        <w:tc>
          <w:tcPr>
            <w:tcW w:w="1134" w:type="dxa"/>
          </w:tcPr>
          <w:p w:rsidR="00A021F5" w:rsidRPr="00A021F5" w:rsidRDefault="00A021F5" w:rsidP="00A021F5">
            <w:pPr>
              <w:jc w:val="center"/>
              <w:rPr>
                <w:sz w:val="20"/>
                <w:szCs w:val="20"/>
                <w:lang w:eastAsia="en-US"/>
              </w:rPr>
            </w:pPr>
            <w:r w:rsidRPr="00A021F5">
              <w:rPr>
                <w:sz w:val="20"/>
                <w:szCs w:val="20"/>
                <w:lang w:eastAsia="en-US"/>
              </w:rPr>
              <w:t>84.7%</w:t>
            </w:r>
          </w:p>
        </w:tc>
        <w:tc>
          <w:tcPr>
            <w:tcW w:w="1134" w:type="dxa"/>
          </w:tcPr>
          <w:p w:rsidR="00A021F5" w:rsidRPr="00A021F5" w:rsidRDefault="00A021F5" w:rsidP="00A021F5">
            <w:pPr>
              <w:jc w:val="center"/>
              <w:rPr>
                <w:sz w:val="20"/>
                <w:szCs w:val="20"/>
                <w:lang w:eastAsia="en-US"/>
              </w:rPr>
            </w:pPr>
            <w:r w:rsidRPr="00A021F5">
              <w:rPr>
                <w:sz w:val="20"/>
                <w:szCs w:val="20"/>
                <w:lang w:eastAsia="en-US"/>
              </w:rPr>
              <w:t>83.7%</w:t>
            </w:r>
          </w:p>
        </w:tc>
        <w:tc>
          <w:tcPr>
            <w:tcW w:w="992" w:type="dxa"/>
          </w:tcPr>
          <w:p w:rsidR="00A021F5" w:rsidRPr="00A021F5" w:rsidRDefault="00A021F5" w:rsidP="00A021F5">
            <w:pPr>
              <w:jc w:val="center"/>
              <w:rPr>
                <w:sz w:val="20"/>
                <w:szCs w:val="20"/>
                <w:lang w:eastAsia="en-US"/>
              </w:rPr>
            </w:pPr>
            <w:r w:rsidRPr="00A021F5">
              <w:rPr>
                <w:sz w:val="20"/>
                <w:szCs w:val="20"/>
                <w:lang w:eastAsia="en-US"/>
              </w:rPr>
              <w:t>81.5%</w:t>
            </w:r>
          </w:p>
        </w:tc>
        <w:tc>
          <w:tcPr>
            <w:tcW w:w="114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81%</w:t>
            </w:r>
          </w:p>
        </w:tc>
      </w:tr>
      <w:tr w:rsidR="00A021F5" w:rsidRPr="00A021F5" w:rsidTr="00C722CB">
        <w:tc>
          <w:tcPr>
            <w:tcW w:w="1668" w:type="dxa"/>
          </w:tcPr>
          <w:p w:rsidR="00A021F5" w:rsidRPr="00A021F5" w:rsidRDefault="00A021F5" w:rsidP="00A021F5">
            <w:pPr>
              <w:rPr>
                <w:sz w:val="20"/>
                <w:szCs w:val="20"/>
                <w:lang w:eastAsia="en-US"/>
              </w:rPr>
            </w:pPr>
            <w:r w:rsidRPr="00A021F5">
              <w:rPr>
                <w:sz w:val="20"/>
                <w:szCs w:val="20"/>
                <w:lang w:eastAsia="en-US"/>
              </w:rPr>
              <w:t>% filles</w:t>
            </w:r>
          </w:p>
        </w:tc>
        <w:tc>
          <w:tcPr>
            <w:tcW w:w="1417" w:type="dxa"/>
          </w:tcPr>
          <w:p w:rsidR="00A021F5" w:rsidRPr="00A021F5" w:rsidRDefault="00A021F5" w:rsidP="00A021F5">
            <w:pPr>
              <w:jc w:val="center"/>
              <w:rPr>
                <w:sz w:val="20"/>
                <w:szCs w:val="20"/>
                <w:lang w:eastAsia="en-US"/>
              </w:rPr>
            </w:pPr>
            <w:r w:rsidRPr="00A021F5">
              <w:rPr>
                <w:sz w:val="20"/>
                <w:szCs w:val="20"/>
                <w:lang w:eastAsia="en-US"/>
              </w:rPr>
              <w:t>63,9%</w:t>
            </w:r>
          </w:p>
        </w:tc>
        <w:tc>
          <w:tcPr>
            <w:tcW w:w="1134" w:type="dxa"/>
          </w:tcPr>
          <w:p w:rsidR="00A021F5" w:rsidRPr="00A021F5" w:rsidRDefault="00A021F5" w:rsidP="00A021F5">
            <w:pPr>
              <w:jc w:val="center"/>
              <w:rPr>
                <w:sz w:val="20"/>
                <w:szCs w:val="20"/>
                <w:lang w:eastAsia="en-US"/>
              </w:rPr>
            </w:pPr>
            <w:r w:rsidRPr="00A021F5">
              <w:rPr>
                <w:sz w:val="20"/>
                <w:szCs w:val="20"/>
                <w:lang w:eastAsia="en-US"/>
              </w:rPr>
              <w:t>65,7%</w:t>
            </w:r>
          </w:p>
        </w:tc>
        <w:tc>
          <w:tcPr>
            <w:tcW w:w="1134" w:type="dxa"/>
          </w:tcPr>
          <w:p w:rsidR="00A021F5" w:rsidRPr="00A021F5" w:rsidRDefault="00A021F5" w:rsidP="00A021F5">
            <w:pPr>
              <w:jc w:val="center"/>
              <w:rPr>
                <w:sz w:val="20"/>
                <w:szCs w:val="20"/>
                <w:lang w:eastAsia="en-US"/>
              </w:rPr>
            </w:pPr>
            <w:r w:rsidRPr="00A021F5">
              <w:rPr>
                <w:sz w:val="20"/>
                <w:szCs w:val="20"/>
                <w:lang w:eastAsia="en-US"/>
              </w:rPr>
              <w:t xml:space="preserve"> 66,7% </w:t>
            </w:r>
          </w:p>
        </w:tc>
        <w:tc>
          <w:tcPr>
            <w:tcW w:w="1134" w:type="dxa"/>
          </w:tcPr>
          <w:p w:rsidR="00A021F5" w:rsidRPr="00A021F5" w:rsidRDefault="00A021F5" w:rsidP="00A021F5">
            <w:pPr>
              <w:jc w:val="center"/>
              <w:rPr>
                <w:sz w:val="20"/>
                <w:szCs w:val="20"/>
                <w:lang w:eastAsia="en-US"/>
              </w:rPr>
            </w:pPr>
            <w:r w:rsidRPr="00A021F5">
              <w:rPr>
                <w:sz w:val="20"/>
                <w:szCs w:val="20"/>
                <w:lang w:eastAsia="en-US"/>
              </w:rPr>
              <w:t>65,1%</w:t>
            </w:r>
          </w:p>
        </w:tc>
        <w:tc>
          <w:tcPr>
            <w:tcW w:w="1134" w:type="dxa"/>
          </w:tcPr>
          <w:p w:rsidR="00A021F5" w:rsidRPr="00A021F5" w:rsidRDefault="00A021F5" w:rsidP="00A021F5">
            <w:pPr>
              <w:jc w:val="center"/>
              <w:rPr>
                <w:sz w:val="20"/>
                <w:szCs w:val="20"/>
                <w:lang w:eastAsia="en-US"/>
              </w:rPr>
            </w:pPr>
            <w:r w:rsidRPr="00A021F5">
              <w:rPr>
                <w:sz w:val="20"/>
                <w:szCs w:val="20"/>
                <w:lang w:eastAsia="en-US"/>
              </w:rPr>
              <w:t>68,2%</w:t>
            </w:r>
          </w:p>
        </w:tc>
        <w:tc>
          <w:tcPr>
            <w:tcW w:w="992" w:type="dxa"/>
          </w:tcPr>
          <w:p w:rsidR="00A021F5" w:rsidRPr="00A021F5" w:rsidRDefault="00A021F5" w:rsidP="00A021F5">
            <w:pPr>
              <w:jc w:val="center"/>
              <w:rPr>
                <w:sz w:val="20"/>
                <w:szCs w:val="20"/>
                <w:lang w:eastAsia="en-US"/>
              </w:rPr>
            </w:pPr>
            <w:r w:rsidRPr="00A021F5">
              <w:rPr>
                <w:sz w:val="20"/>
                <w:szCs w:val="20"/>
                <w:lang w:eastAsia="en-US"/>
              </w:rPr>
              <w:t>67%</w:t>
            </w:r>
          </w:p>
        </w:tc>
        <w:tc>
          <w:tcPr>
            <w:tcW w:w="114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70.5%</w:t>
            </w:r>
          </w:p>
        </w:tc>
      </w:tr>
      <w:tr w:rsidR="00A021F5" w:rsidRPr="00A021F5" w:rsidTr="00C722CB">
        <w:tc>
          <w:tcPr>
            <w:tcW w:w="1668" w:type="dxa"/>
          </w:tcPr>
          <w:p w:rsidR="00A021F5" w:rsidRPr="00A021F5" w:rsidRDefault="00A021F5" w:rsidP="00A021F5">
            <w:pPr>
              <w:rPr>
                <w:sz w:val="20"/>
                <w:szCs w:val="20"/>
                <w:lang w:eastAsia="en-US"/>
              </w:rPr>
            </w:pPr>
            <w:r w:rsidRPr="00A021F5">
              <w:rPr>
                <w:sz w:val="20"/>
                <w:szCs w:val="20"/>
                <w:lang w:eastAsia="en-US"/>
              </w:rPr>
              <w:t>% redoublement</w:t>
            </w:r>
          </w:p>
        </w:tc>
        <w:tc>
          <w:tcPr>
            <w:tcW w:w="1417" w:type="dxa"/>
          </w:tcPr>
          <w:p w:rsidR="00A021F5" w:rsidRPr="00A021F5" w:rsidRDefault="00A021F5" w:rsidP="00A021F5">
            <w:pPr>
              <w:jc w:val="center"/>
              <w:rPr>
                <w:sz w:val="20"/>
                <w:szCs w:val="20"/>
                <w:lang w:eastAsia="en-US"/>
              </w:rPr>
            </w:pPr>
            <w:r w:rsidRPr="00A021F5">
              <w:rPr>
                <w:sz w:val="20"/>
                <w:szCs w:val="20"/>
                <w:lang w:eastAsia="en-US"/>
              </w:rPr>
              <w:t>14,3%</w:t>
            </w:r>
          </w:p>
        </w:tc>
        <w:tc>
          <w:tcPr>
            <w:tcW w:w="1134" w:type="dxa"/>
          </w:tcPr>
          <w:p w:rsidR="00A021F5" w:rsidRPr="00A021F5" w:rsidRDefault="00A021F5" w:rsidP="00A021F5">
            <w:pPr>
              <w:jc w:val="center"/>
              <w:rPr>
                <w:sz w:val="20"/>
                <w:szCs w:val="20"/>
                <w:lang w:eastAsia="en-US"/>
              </w:rPr>
            </w:pPr>
            <w:r w:rsidRPr="00A021F5">
              <w:rPr>
                <w:sz w:val="20"/>
                <w:szCs w:val="20"/>
                <w:lang w:eastAsia="en-US"/>
              </w:rPr>
              <w:t>15%</w:t>
            </w:r>
          </w:p>
        </w:tc>
        <w:tc>
          <w:tcPr>
            <w:tcW w:w="1134" w:type="dxa"/>
          </w:tcPr>
          <w:p w:rsidR="00A021F5" w:rsidRPr="00A021F5" w:rsidRDefault="00A021F5" w:rsidP="00A021F5">
            <w:pPr>
              <w:jc w:val="center"/>
              <w:rPr>
                <w:sz w:val="20"/>
                <w:szCs w:val="20"/>
                <w:lang w:eastAsia="en-US"/>
              </w:rPr>
            </w:pPr>
            <w:r w:rsidRPr="00A021F5">
              <w:rPr>
                <w:sz w:val="20"/>
                <w:szCs w:val="20"/>
                <w:lang w:eastAsia="en-US"/>
              </w:rPr>
              <w:t>12,1%</w:t>
            </w:r>
          </w:p>
        </w:tc>
        <w:tc>
          <w:tcPr>
            <w:tcW w:w="1134" w:type="dxa"/>
          </w:tcPr>
          <w:p w:rsidR="00A021F5" w:rsidRPr="00A021F5" w:rsidRDefault="00A021F5" w:rsidP="00A021F5">
            <w:pPr>
              <w:jc w:val="center"/>
              <w:rPr>
                <w:sz w:val="20"/>
                <w:szCs w:val="20"/>
                <w:lang w:eastAsia="en-US"/>
              </w:rPr>
            </w:pPr>
            <w:r w:rsidRPr="00A021F5">
              <w:rPr>
                <w:sz w:val="20"/>
                <w:szCs w:val="20"/>
                <w:lang w:eastAsia="en-US"/>
              </w:rPr>
              <w:t>7,6</w:t>
            </w:r>
          </w:p>
        </w:tc>
        <w:tc>
          <w:tcPr>
            <w:tcW w:w="1134" w:type="dxa"/>
          </w:tcPr>
          <w:p w:rsidR="00A021F5" w:rsidRPr="00A021F5" w:rsidRDefault="00A021F5" w:rsidP="00A021F5">
            <w:pPr>
              <w:jc w:val="center"/>
              <w:rPr>
                <w:sz w:val="20"/>
                <w:szCs w:val="20"/>
                <w:lang w:eastAsia="en-US"/>
              </w:rPr>
            </w:pPr>
            <w:r w:rsidRPr="00A021F5">
              <w:rPr>
                <w:sz w:val="20"/>
                <w:szCs w:val="20"/>
                <w:lang w:eastAsia="en-US"/>
              </w:rPr>
              <w:t>3,5%</w:t>
            </w:r>
          </w:p>
        </w:tc>
        <w:tc>
          <w:tcPr>
            <w:tcW w:w="992" w:type="dxa"/>
          </w:tcPr>
          <w:p w:rsidR="00A021F5" w:rsidRPr="00A021F5" w:rsidRDefault="00A021F5" w:rsidP="00A021F5">
            <w:pPr>
              <w:jc w:val="center"/>
              <w:rPr>
                <w:sz w:val="20"/>
                <w:szCs w:val="20"/>
                <w:lang w:eastAsia="en-US"/>
              </w:rPr>
            </w:pPr>
            <w:r w:rsidRPr="00A021F5">
              <w:rPr>
                <w:sz w:val="20"/>
                <w:szCs w:val="20"/>
                <w:lang w:eastAsia="en-US"/>
              </w:rPr>
              <w:t>7%</w:t>
            </w:r>
          </w:p>
        </w:tc>
        <w:tc>
          <w:tcPr>
            <w:tcW w:w="114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5.4%</w:t>
            </w:r>
          </w:p>
        </w:tc>
      </w:tr>
      <w:tr w:rsidR="00A021F5" w:rsidRPr="00A021F5" w:rsidTr="00C722CB">
        <w:tc>
          <w:tcPr>
            <w:tcW w:w="1668" w:type="dxa"/>
          </w:tcPr>
          <w:p w:rsidR="00A021F5" w:rsidRPr="00A021F5" w:rsidRDefault="00A021F5" w:rsidP="00A021F5">
            <w:pPr>
              <w:rPr>
                <w:sz w:val="20"/>
                <w:szCs w:val="20"/>
                <w:lang w:eastAsia="en-US"/>
              </w:rPr>
            </w:pPr>
            <w:r w:rsidRPr="00A021F5">
              <w:rPr>
                <w:sz w:val="20"/>
                <w:szCs w:val="20"/>
                <w:lang w:eastAsia="en-US"/>
              </w:rPr>
              <w:t>% étrangers</w:t>
            </w:r>
          </w:p>
        </w:tc>
        <w:tc>
          <w:tcPr>
            <w:tcW w:w="1417" w:type="dxa"/>
          </w:tcPr>
          <w:p w:rsidR="00A021F5" w:rsidRPr="00A021F5" w:rsidRDefault="00A021F5" w:rsidP="00A021F5">
            <w:pPr>
              <w:jc w:val="center"/>
              <w:rPr>
                <w:sz w:val="20"/>
                <w:szCs w:val="20"/>
                <w:lang w:eastAsia="en-US"/>
              </w:rPr>
            </w:pPr>
            <w:r w:rsidRPr="00A021F5">
              <w:rPr>
                <w:sz w:val="20"/>
                <w:szCs w:val="20"/>
                <w:lang w:eastAsia="en-US"/>
              </w:rPr>
              <w:t>19,7%</w:t>
            </w:r>
          </w:p>
        </w:tc>
        <w:tc>
          <w:tcPr>
            <w:tcW w:w="1134" w:type="dxa"/>
          </w:tcPr>
          <w:p w:rsidR="00A021F5" w:rsidRPr="00A021F5" w:rsidRDefault="00A021F5" w:rsidP="00A021F5">
            <w:pPr>
              <w:jc w:val="center"/>
              <w:rPr>
                <w:sz w:val="20"/>
                <w:szCs w:val="20"/>
                <w:lang w:eastAsia="en-US"/>
              </w:rPr>
            </w:pPr>
            <w:r w:rsidRPr="00A021F5">
              <w:rPr>
                <w:sz w:val="20"/>
                <w:szCs w:val="20"/>
                <w:lang w:eastAsia="en-US"/>
              </w:rPr>
              <w:t>20 ,3%</w:t>
            </w:r>
          </w:p>
        </w:tc>
        <w:tc>
          <w:tcPr>
            <w:tcW w:w="1134" w:type="dxa"/>
          </w:tcPr>
          <w:p w:rsidR="00A021F5" w:rsidRPr="00A021F5" w:rsidRDefault="00A021F5" w:rsidP="00A021F5">
            <w:pPr>
              <w:jc w:val="center"/>
              <w:rPr>
                <w:sz w:val="20"/>
                <w:szCs w:val="20"/>
                <w:lang w:eastAsia="en-US"/>
              </w:rPr>
            </w:pPr>
            <w:r w:rsidRPr="00A021F5">
              <w:rPr>
                <w:sz w:val="20"/>
                <w:szCs w:val="20"/>
                <w:lang w:eastAsia="en-US"/>
              </w:rPr>
              <w:t>25,5%</w:t>
            </w:r>
          </w:p>
        </w:tc>
        <w:tc>
          <w:tcPr>
            <w:tcW w:w="1134" w:type="dxa"/>
          </w:tcPr>
          <w:p w:rsidR="00A021F5" w:rsidRPr="00A021F5" w:rsidRDefault="00A021F5" w:rsidP="00A021F5">
            <w:pPr>
              <w:jc w:val="center"/>
              <w:rPr>
                <w:sz w:val="20"/>
                <w:szCs w:val="20"/>
                <w:lang w:eastAsia="en-US"/>
              </w:rPr>
            </w:pPr>
            <w:r w:rsidRPr="00A021F5">
              <w:rPr>
                <w:sz w:val="20"/>
                <w:szCs w:val="20"/>
                <w:lang w:eastAsia="en-US"/>
              </w:rPr>
              <w:t>NC</w:t>
            </w:r>
          </w:p>
        </w:tc>
        <w:tc>
          <w:tcPr>
            <w:tcW w:w="1134" w:type="dxa"/>
          </w:tcPr>
          <w:p w:rsidR="00A021F5" w:rsidRPr="00A021F5" w:rsidRDefault="00A021F5" w:rsidP="00A021F5">
            <w:pPr>
              <w:jc w:val="center"/>
              <w:rPr>
                <w:sz w:val="20"/>
                <w:szCs w:val="20"/>
                <w:lang w:eastAsia="en-US"/>
              </w:rPr>
            </w:pPr>
            <w:r w:rsidRPr="00A021F5">
              <w:rPr>
                <w:sz w:val="20"/>
                <w:szCs w:val="20"/>
                <w:lang w:eastAsia="en-US"/>
              </w:rPr>
              <w:t>NC</w:t>
            </w:r>
          </w:p>
        </w:tc>
        <w:tc>
          <w:tcPr>
            <w:tcW w:w="992" w:type="dxa"/>
          </w:tcPr>
          <w:p w:rsidR="00A021F5" w:rsidRPr="00A021F5" w:rsidRDefault="00A021F5" w:rsidP="00A021F5">
            <w:pPr>
              <w:jc w:val="center"/>
              <w:rPr>
                <w:sz w:val="20"/>
                <w:szCs w:val="20"/>
                <w:lang w:eastAsia="en-US"/>
              </w:rPr>
            </w:pPr>
            <w:r w:rsidRPr="00A021F5">
              <w:rPr>
                <w:sz w:val="20"/>
                <w:szCs w:val="20"/>
                <w:lang w:eastAsia="en-US"/>
              </w:rPr>
              <w:t>NC</w:t>
            </w:r>
          </w:p>
        </w:tc>
        <w:tc>
          <w:tcPr>
            <w:tcW w:w="114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13%</w:t>
            </w:r>
          </w:p>
        </w:tc>
      </w:tr>
      <w:tr w:rsidR="00A021F5" w:rsidRPr="00A021F5" w:rsidTr="00C722CB">
        <w:tc>
          <w:tcPr>
            <w:tcW w:w="1668" w:type="dxa"/>
          </w:tcPr>
          <w:p w:rsidR="00A021F5" w:rsidRPr="00A021F5" w:rsidRDefault="00A021F5" w:rsidP="00A021F5">
            <w:pPr>
              <w:rPr>
                <w:sz w:val="20"/>
                <w:szCs w:val="20"/>
                <w:lang w:eastAsia="en-US"/>
              </w:rPr>
            </w:pPr>
            <w:r w:rsidRPr="00A021F5">
              <w:rPr>
                <w:sz w:val="20"/>
                <w:szCs w:val="20"/>
                <w:lang w:eastAsia="en-US"/>
              </w:rPr>
              <w:t>% non francophones*</w:t>
            </w:r>
          </w:p>
        </w:tc>
        <w:tc>
          <w:tcPr>
            <w:tcW w:w="1417" w:type="dxa"/>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NC</w:t>
            </w:r>
          </w:p>
        </w:tc>
        <w:tc>
          <w:tcPr>
            <w:tcW w:w="1134" w:type="dxa"/>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78%</w:t>
            </w:r>
          </w:p>
        </w:tc>
        <w:tc>
          <w:tcPr>
            <w:tcW w:w="1134" w:type="dxa"/>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78%</w:t>
            </w:r>
          </w:p>
        </w:tc>
        <w:tc>
          <w:tcPr>
            <w:tcW w:w="1134" w:type="dxa"/>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85%</w:t>
            </w:r>
          </w:p>
        </w:tc>
        <w:tc>
          <w:tcPr>
            <w:tcW w:w="1134" w:type="dxa"/>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81%</w:t>
            </w:r>
          </w:p>
        </w:tc>
        <w:tc>
          <w:tcPr>
            <w:tcW w:w="992" w:type="dxa"/>
            <w:vAlign w:val="bottom"/>
          </w:tcPr>
          <w:p w:rsidR="00A021F5" w:rsidRPr="00A021F5" w:rsidRDefault="00A021F5" w:rsidP="00A021F5">
            <w:pPr>
              <w:jc w:val="center"/>
              <w:rPr>
                <w:sz w:val="20"/>
                <w:szCs w:val="20"/>
                <w:lang w:eastAsia="en-US"/>
              </w:rPr>
            </w:pPr>
            <w:r w:rsidRPr="00A021F5">
              <w:rPr>
                <w:sz w:val="20"/>
                <w:szCs w:val="20"/>
                <w:lang w:eastAsia="en-US"/>
              </w:rPr>
              <w:t>82%</w:t>
            </w:r>
          </w:p>
        </w:tc>
        <w:tc>
          <w:tcPr>
            <w:tcW w:w="1140" w:type="dxa"/>
            <w:tcBorders>
              <w:bottom w:val="single" w:sz="4" w:space="0" w:color="auto"/>
            </w:tcBorders>
            <w:shd w:val="clear" w:color="auto" w:fill="auto"/>
          </w:tcPr>
          <w:p w:rsidR="00A021F5" w:rsidRPr="00A021F5" w:rsidRDefault="00A021F5" w:rsidP="00A021F5">
            <w:pPr>
              <w:rPr>
                <w:sz w:val="20"/>
                <w:szCs w:val="20"/>
                <w:lang w:eastAsia="en-US"/>
              </w:rPr>
            </w:pPr>
          </w:p>
          <w:p w:rsidR="00A021F5" w:rsidRPr="00A021F5" w:rsidRDefault="00A021F5" w:rsidP="00A021F5">
            <w:pPr>
              <w:rPr>
                <w:sz w:val="20"/>
                <w:szCs w:val="20"/>
                <w:lang w:eastAsia="en-US"/>
              </w:rPr>
            </w:pPr>
            <w:r w:rsidRPr="00A021F5">
              <w:rPr>
                <w:sz w:val="20"/>
                <w:szCs w:val="20"/>
                <w:lang w:eastAsia="en-US"/>
              </w:rPr>
              <w:t>NC</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Calibri" w:hAnsi="Calibri"/>
        </w:rPr>
        <w:t xml:space="preserve"> </w:t>
      </w:r>
      <w:r w:rsidRPr="00A021F5">
        <w:rPr>
          <w:rFonts w:asciiTheme="minorHAnsi" w:eastAsiaTheme="minorHAnsi" w:hAnsiTheme="minorHAnsi" w:cstheme="minorBidi"/>
          <w:sz w:val="22"/>
          <w:szCs w:val="22"/>
          <w:lang w:eastAsia="en-US"/>
        </w:rPr>
        <w:t>* estimation d’après enquête interne</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La plupart des élèves sont d’origine très modeste : plus de 81% sont issus de catégories socioprofessionnelles défavorisées. 70% des parents sont sans activité déclarée.</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Ce chiffre demeure important depuis l’ouverture de l’établissement. Il est nettement supérieur au taux académique qui a atteint 43% en 2014. </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En 2014-2015, 59% des élèves sont boursiers et 91% de ces boursiers ont des taux de bourses compris entre 10 et 13 parts.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A noter que 13% d’élèves étrangers n’ont pas droit aux bourses.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En 2014-2015 le pourcentage d’élèves issus de CSP défavorisées qui se sont orientés vers la SEP est supérieur à celui de ceux qui ont choisi le LGT: 86% contre 77%.</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Le fonds social Lycéen est donc fortement sollicité  pour tout ce qui est matériel, demi-pension et internat. </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S’ajoute à cette donnée un autre facteur pénalisant, </w:t>
      </w:r>
      <w:proofErr w:type="gramStart"/>
      <w:r w:rsidRPr="00A021F5">
        <w:rPr>
          <w:rFonts w:asciiTheme="minorHAnsi" w:eastAsiaTheme="minorHAnsi" w:hAnsiTheme="minorHAnsi" w:cstheme="minorBidi"/>
          <w:sz w:val="22"/>
          <w:szCs w:val="22"/>
          <w:lang w:eastAsia="en-US"/>
        </w:rPr>
        <w:t>la</w:t>
      </w:r>
      <w:proofErr w:type="gramEnd"/>
      <w:r w:rsidRPr="00A021F5">
        <w:rPr>
          <w:rFonts w:asciiTheme="minorHAnsi" w:eastAsiaTheme="minorHAnsi" w:hAnsiTheme="minorHAnsi" w:cstheme="minorBidi"/>
          <w:sz w:val="22"/>
          <w:szCs w:val="22"/>
          <w:lang w:eastAsia="en-US"/>
        </w:rPr>
        <w:t xml:space="preserve"> non francophonie. Presque tous les lycéens utilisent une autre langue que le français au quotidien : langues régionales comme le créole, les dialectes amérindiens, </w:t>
      </w:r>
      <w:proofErr w:type="spellStart"/>
      <w:r w:rsidRPr="00A021F5">
        <w:rPr>
          <w:rFonts w:asciiTheme="minorHAnsi" w:eastAsiaTheme="minorHAnsi" w:hAnsiTheme="minorHAnsi" w:cstheme="minorBidi"/>
          <w:sz w:val="22"/>
          <w:szCs w:val="22"/>
          <w:lang w:eastAsia="en-US"/>
        </w:rPr>
        <w:t>bushinengue</w:t>
      </w:r>
      <w:proofErr w:type="spellEnd"/>
      <w:r w:rsidRPr="00A021F5">
        <w:rPr>
          <w:rFonts w:asciiTheme="minorHAnsi" w:eastAsiaTheme="minorHAnsi" w:hAnsiTheme="minorHAnsi" w:cstheme="minorBidi"/>
          <w:sz w:val="22"/>
          <w:szCs w:val="22"/>
          <w:lang w:eastAsia="en-US"/>
        </w:rPr>
        <w:t xml:space="preserve"> et  dans une moindre mesure, des langues étrangères telles que le portugais et l’espagnol. Dans certaines classes, notamment à la SEP, tous les élèves sont non francophones.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Les tests de langue française passés par les élèves de 2</w:t>
      </w:r>
      <w:r w:rsidRPr="00A021F5">
        <w:rPr>
          <w:rFonts w:asciiTheme="minorHAnsi" w:eastAsiaTheme="minorHAnsi" w:hAnsiTheme="minorHAnsi" w:cstheme="minorBidi"/>
          <w:sz w:val="22"/>
          <w:szCs w:val="22"/>
          <w:vertAlign w:val="superscript"/>
          <w:lang w:eastAsia="en-US"/>
        </w:rPr>
        <w:t>nde</w:t>
      </w:r>
      <w:r w:rsidRPr="00A021F5">
        <w:rPr>
          <w:rFonts w:asciiTheme="minorHAnsi" w:eastAsiaTheme="minorHAnsi" w:hAnsiTheme="minorHAnsi" w:cstheme="minorBidi"/>
          <w:sz w:val="22"/>
          <w:szCs w:val="22"/>
          <w:lang w:eastAsia="en-US"/>
        </w:rPr>
        <w:t xml:space="preserve"> générale, 2</w:t>
      </w:r>
      <w:r w:rsidRPr="00A021F5">
        <w:rPr>
          <w:rFonts w:asciiTheme="minorHAnsi" w:eastAsiaTheme="minorHAnsi" w:hAnsiTheme="minorHAnsi" w:cstheme="minorBidi"/>
          <w:sz w:val="22"/>
          <w:szCs w:val="22"/>
          <w:vertAlign w:val="superscript"/>
          <w:lang w:eastAsia="en-US"/>
        </w:rPr>
        <w:t>nde</w:t>
      </w:r>
      <w:r w:rsidRPr="00A021F5">
        <w:rPr>
          <w:rFonts w:asciiTheme="minorHAnsi" w:eastAsiaTheme="minorHAnsi" w:hAnsiTheme="minorHAnsi" w:cstheme="minorBidi"/>
          <w:sz w:val="22"/>
          <w:szCs w:val="22"/>
          <w:lang w:eastAsia="en-US"/>
        </w:rPr>
        <w:t xml:space="preserve">  PRO et 1ere année de </w:t>
      </w:r>
      <w:proofErr w:type="gramStart"/>
      <w:r w:rsidRPr="00A021F5">
        <w:rPr>
          <w:rFonts w:asciiTheme="minorHAnsi" w:eastAsiaTheme="minorHAnsi" w:hAnsiTheme="minorHAnsi" w:cstheme="minorBidi"/>
          <w:sz w:val="22"/>
          <w:szCs w:val="22"/>
          <w:lang w:eastAsia="en-US"/>
        </w:rPr>
        <w:t>CAP ,</w:t>
      </w:r>
      <w:proofErr w:type="gramEnd"/>
      <w:r w:rsidRPr="00A021F5">
        <w:rPr>
          <w:rFonts w:asciiTheme="minorHAnsi" w:eastAsiaTheme="minorHAnsi" w:hAnsiTheme="minorHAnsi" w:cstheme="minorBidi"/>
          <w:sz w:val="22"/>
          <w:szCs w:val="22"/>
          <w:lang w:eastAsia="en-US"/>
        </w:rPr>
        <w:t xml:space="preserve"> soit 289 élèves , font apparaître que 150 élèves ont  des difficultés en Français et que 19% d’entre eux sont illettrés au regard de ces tests.</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 pourcentage de filles reste plus élevé que celui des garçons. Les spécialités tertiaires les attirant tout particulièrement.</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Default="00A021F5" w:rsidP="00A021F5">
      <w:pPr>
        <w:spacing w:after="200" w:line="276" w:lineRule="auto"/>
        <w:rPr>
          <w:rFonts w:asciiTheme="minorHAnsi" w:eastAsiaTheme="minorHAnsi" w:hAnsiTheme="minorHAnsi" w:cstheme="minorBidi"/>
          <w:b/>
          <w:sz w:val="28"/>
          <w:szCs w:val="28"/>
          <w:u w:val="single"/>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u w:val="single"/>
          <w:lang w:eastAsia="en-US"/>
        </w:rPr>
      </w:pPr>
      <w:r w:rsidRPr="00A021F5">
        <w:rPr>
          <w:rFonts w:asciiTheme="minorHAnsi" w:eastAsiaTheme="minorHAnsi" w:hAnsiTheme="minorHAnsi" w:cstheme="minorBidi"/>
          <w:b/>
          <w:sz w:val="28"/>
          <w:szCs w:val="28"/>
          <w:u w:val="single"/>
          <w:lang w:eastAsia="en-US"/>
        </w:rPr>
        <w:lastRenderedPageBreak/>
        <w:t>3. Résultats aux examens :</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b/>
          <w:sz w:val="22"/>
          <w:szCs w:val="22"/>
          <w:lang w:eastAsia="en-US"/>
        </w:rPr>
        <w:t>Baccalauréat général et technologique</w:t>
      </w:r>
    </w:p>
    <w:tbl>
      <w:tblPr>
        <w:tblStyle w:val="Grilledutableau"/>
        <w:tblW w:w="9747" w:type="dxa"/>
        <w:tblLayout w:type="fixed"/>
        <w:tblLook w:val="01E0" w:firstRow="1" w:lastRow="1" w:firstColumn="1" w:lastColumn="1" w:noHBand="0" w:noVBand="0"/>
      </w:tblPr>
      <w:tblGrid>
        <w:gridCol w:w="958"/>
        <w:gridCol w:w="709"/>
        <w:gridCol w:w="709"/>
        <w:gridCol w:w="851"/>
        <w:gridCol w:w="709"/>
        <w:gridCol w:w="708"/>
        <w:gridCol w:w="709"/>
        <w:gridCol w:w="709"/>
        <w:gridCol w:w="709"/>
        <w:gridCol w:w="708"/>
        <w:gridCol w:w="709"/>
        <w:gridCol w:w="709"/>
        <w:gridCol w:w="850"/>
      </w:tblGrid>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p>
        </w:tc>
        <w:tc>
          <w:tcPr>
            <w:tcW w:w="2269" w:type="dxa"/>
            <w:gridSpan w:val="3"/>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2006</w:t>
            </w:r>
          </w:p>
        </w:tc>
        <w:tc>
          <w:tcPr>
            <w:tcW w:w="2126" w:type="dxa"/>
            <w:gridSpan w:val="3"/>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2007</w:t>
            </w:r>
          </w:p>
        </w:tc>
        <w:tc>
          <w:tcPr>
            <w:tcW w:w="2126" w:type="dxa"/>
            <w:gridSpan w:val="3"/>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2008</w:t>
            </w:r>
          </w:p>
        </w:tc>
        <w:tc>
          <w:tcPr>
            <w:tcW w:w="2268" w:type="dxa"/>
            <w:gridSpan w:val="3"/>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2009</w:t>
            </w:r>
          </w:p>
        </w:tc>
      </w:tr>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section</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 %</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proofErr w:type="spellStart"/>
            <w:r w:rsidRPr="00A021F5">
              <w:rPr>
                <w:sz w:val="20"/>
                <w:szCs w:val="20"/>
                <w:lang w:eastAsia="en-US"/>
              </w:rPr>
              <w:t>Ac</w:t>
            </w:r>
            <w:proofErr w:type="spellEnd"/>
            <w:r w:rsidRPr="00A021F5">
              <w:rPr>
                <w:sz w:val="20"/>
                <w:szCs w:val="20"/>
                <w:lang w:eastAsia="en-US"/>
              </w:rPr>
              <w:t>.</w:t>
            </w:r>
          </w:p>
          <w:p w:rsidR="00A021F5" w:rsidRPr="00A021F5" w:rsidRDefault="00A021F5" w:rsidP="00A021F5">
            <w:pPr>
              <w:jc w:val="center"/>
              <w:rPr>
                <w:sz w:val="20"/>
                <w:szCs w:val="20"/>
                <w:lang w:eastAsia="en-US"/>
              </w:rPr>
            </w:pPr>
            <w:r w:rsidRPr="00A021F5">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r w:rsidRPr="00A021F5">
              <w:rPr>
                <w:sz w:val="20"/>
                <w:szCs w:val="20"/>
                <w:lang w:eastAsia="en-US"/>
              </w:rPr>
              <w:t>Fr.</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jc w:val="center"/>
              <w:rPr>
                <w:sz w:val="20"/>
                <w:szCs w:val="20"/>
                <w:lang w:eastAsia="en-US"/>
              </w:rPr>
            </w:pPr>
            <w:r w:rsidRPr="00A021F5">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proofErr w:type="spellStart"/>
            <w:r w:rsidRPr="00A021F5">
              <w:rPr>
                <w:sz w:val="20"/>
                <w:szCs w:val="20"/>
                <w:lang w:eastAsia="en-US"/>
              </w:rPr>
              <w:t>Ac</w:t>
            </w:r>
            <w:proofErr w:type="spellEnd"/>
            <w:r w:rsidRPr="00A021F5">
              <w:rPr>
                <w:sz w:val="20"/>
                <w:szCs w:val="20"/>
                <w:lang w:eastAsia="en-US"/>
              </w:rPr>
              <w:t>.</w:t>
            </w:r>
          </w:p>
          <w:p w:rsidR="00A021F5" w:rsidRPr="00A021F5" w:rsidRDefault="00A021F5" w:rsidP="00A021F5">
            <w:pPr>
              <w:jc w:val="cente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r w:rsidRPr="00A021F5">
              <w:rPr>
                <w:sz w:val="20"/>
                <w:szCs w:val="20"/>
                <w:lang w:eastAsia="en-US"/>
              </w:rPr>
              <w:t>Fr.</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jc w:val="cente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proofErr w:type="spellStart"/>
            <w:r w:rsidRPr="00A021F5">
              <w:rPr>
                <w:sz w:val="20"/>
                <w:szCs w:val="20"/>
                <w:lang w:eastAsia="en-US"/>
              </w:rPr>
              <w:t>Ac</w:t>
            </w:r>
            <w:proofErr w:type="spellEnd"/>
            <w:r w:rsidRPr="00A021F5">
              <w:rPr>
                <w:sz w:val="20"/>
                <w:szCs w:val="20"/>
                <w:lang w:eastAsia="en-US"/>
              </w:rPr>
              <w:t>.</w:t>
            </w:r>
          </w:p>
          <w:p w:rsidR="00A021F5" w:rsidRPr="00A021F5" w:rsidRDefault="00A021F5" w:rsidP="00A021F5">
            <w:pPr>
              <w:jc w:val="center"/>
              <w:rPr>
                <w:sz w:val="20"/>
                <w:szCs w:val="20"/>
                <w:lang w:eastAsia="en-US"/>
              </w:rPr>
            </w:pPr>
            <w:r w:rsidRPr="00A021F5">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r w:rsidRPr="00A021F5">
              <w:rPr>
                <w:sz w:val="20"/>
                <w:szCs w:val="20"/>
                <w:lang w:eastAsia="en-US"/>
              </w:rPr>
              <w:t>Fr.</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jc w:val="cente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proofErr w:type="spellStart"/>
            <w:r w:rsidRPr="00A021F5">
              <w:rPr>
                <w:sz w:val="20"/>
                <w:szCs w:val="20"/>
                <w:lang w:eastAsia="en-US"/>
              </w:rPr>
              <w:t>Ac</w:t>
            </w:r>
            <w:proofErr w:type="spellEnd"/>
            <w:r w:rsidRPr="00A021F5">
              <w:rPr>
                <w:sz w:val="20"/>
                <w:szCs w:val="20"/>
                <w:lang w:eastAsia="en-US"/>
              </w:rPr>
              <w:t>.</w:t>
            </w:r>
          </w:p>
          <w:p w:rsidR="00A021F5" w:rsidRPr="00A021F5" w:rsidRDefault="00A021F5" w:rsidP="00A021F5">
            <w:pPr>
              <w:jc w:val="center"/>
              <w:rPr>
                <w:sz w:val="20"/>
                <w:szCs w:val="20"/>
                <w:lang w:eastAsia="en-US"/>
              </w:rPr>
            </w:pPr>
            <w:r w:rsidRPr="00A021F5">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Att.</w:t>
            </w:r>
          </w:p>
          <w:p w:rsidR="00A021F5" w:rsidRPr="00A021F5" w:rsidRDefault="00A021F5" w:rsidP="00A021F5">
            <w:pPr>
              <w:jc w:val="center"/>
              <w:rPr>
                <w:sz w:val="20"/>
                <w:szCs w:val="20"/>
                <w:lang w:eastAsia="en-US"/>
              </w:rPr>
            </w:pPr>
            <w:r w:rsidRPr="00A021F5">
              <w:rPr>
                <w:sz w:val="20"/>
                <w:szCs w:val="20"/>
                <w:lang w:eastAsia="en-US"/>
              </w:rPr>
              <w:t>Fr.</w:t>
            </w:r>
          </w:p>
        </w:tc>
      </w:tr>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L</w:t>
            </w:r>
          </w:p>
        </w:tc>
        <w:tc>
          <w:tcPr>
            <w:tcW w:w="709" w:type="dxa"/>
            <w:tcBorders>
              <w:top w:val="single" w:sz="4" w:space="0" w:color="auto"/>
              <w:left w:val="single" w:sz="4" w:space="0" w:color="auto"/>
              <w:bottom w:val="single" w:sz="4" w:space="0" w:color="auto"/>
              <w:right w:val="single" w:sz="4" w:space="0" w:color="auto"/>
            </w:tcBorders>
            <w:shd w:val="diagStripe" w:color="auto" w:fill="auto"/>
            <w:hideMark/>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diagStripe" w:color="auto" w:fill="auto"/>
            <w:hideMark/>
          </w:tcPr>
          <w:p w:rsidR="00A021F5" w:rsidRPr="00A021F5" w:rsidRDefault="00A021F5" w:rsidP="00A021F5">
            <w:pPr>
              <w:jc w:val="center"/>
              <w:rPr>
                <w:color w:val="DBE5F1" w:themeColor="accent1" w:themeTint="33"/>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diagStripe" w:color="auto" w:fill="auto"/>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diagStripe" w:color="auto" w:fill="auto"/>
            <w:hideMark/>
          </w:tcPr>
          <w:p w:rsidR="00A021F5" w:rsidRPr="00A021F5" w:rsidRDefault="00A021F5" w:rsidP="00A021F5">
            <w:pPr>
              <w:jc w:val="center"/>
              <w:rPr>
                <w:color w:val="DBE5F1" w:themeColor="accent1" w:themeTint="33"/>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diagStripe" w:color="auto" w:fill="auto"/>
            <w:hideMark/>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diagStripe" w:color="auto" w:fill="auto"/>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diagStripe" w:color="auto" w:fill="auto"/>
            <w:hideMark/>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diagStripe" w:color="auto" w:fill="auto"/>
          </w:tcPr>
          <w:p w:rsidR="00A021F5" w:rsidRPr="00A021F5" w:rsidRDefault="00A021F5" w:rsidP="00A021F5">
            <w:pPr>
              <w:jc w:val="center"/>
              <w:rPr>
                <w:color w:val="DBE5F1" w:themeColor="accent1" w:themeTint="33"/>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diagStripe" w:color="auto" w:fill="auto"/>
          </w:tcPr>
          <w:p w:rsidR="00A021F5" w:rsidRPr="00A021F5" w:rsidRDefault="00A021F5" w:rsidP="00A021F5">
            <w:pPr>
              <w:jc w:val="center"/>
              <w:rPr>
                <w:color w:val="DBE5F1" w:themeColor="accent1" w:themeTint="33"/>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43</w:t>
            </w:r>
          </w:p>
        </w:tc>
      </w:tr>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ES</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22,2</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63,3</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76</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60,7</w:t>
            </w:r>
          </w:p>
        </w:tc>
        <w:tc>
          <w:tcPr>
            <w:tcW w:w="70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67,5</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84,5</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57</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74</w:t>
            </w:r>
          </w:p>
        </w:tc>
        <w:tc>
          <w:tcPr>
            <w:tcW w:w="708"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79</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47</w:t>
            </w:r>
          </w:p>
        </w:tc>
      </w:tr>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S</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79,5</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84,3</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22,2</w:t>
            </w:r>
          </w:p>
        </w:tc>
        <w:tc>
          <w:tcPr>
            <w:tcW w:w="70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57</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76,3</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23</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71</w:t>
            </w:r>
          </w:p>
        </w:tc>
        <w:tc>
          <w:tcPr>
            <w:tcW w:w="708"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17</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68</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42</w:t>
            </w:r>
          </w:p>
        </w:tc>
      </w:tr>
      <w:tr w:rsidR="00A021F5" w:rsidRPr="00A021F5" w:rsidTr="00C722CB">
        <w:tc>
          <w:tcPr>
            <w:tcW w:w="95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SMS</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28,5</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38,7</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77,5</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50</w:t>
            </w:r>
          </w:p>
        </w:tc>
        <w:tc>
          <w:tcPr>
            <w:tcW w:w="708"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59,2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78</w:t>
            </w:r>
          </w:p>
        </w:tc>
        <w:tc>
          <w:tcPr>
            <w:tcW w:w="709"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jc w:val="center"/>
              <w:rPr>
                <w:sz w:val="20"/>
                <w:szCs w:val="20"/>
                <w:lang w:eastAsia="en-US"/>
              </w:rPr>
            </w:pPr>
            <w:r w:rsidRPr="00A021F5">
              <w:rPr>
                <w:sz w:val="20"/>
                <w:szCs w:val="20"/>
                <w:lang w:eastAsia="en-US"/>
              </w:rPr>
              <w:t>56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55</w:t>
            </w:r>
          </w:p>
        </w:tc>
        <w:tc>
          <w:tcPr>
            <w:tcW w:w="708"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62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38</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31</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36</w:t>
            </w:r>
          </w:p>
        </w:tc>
      </w:tr>
    </w:tbl>
    <w:p w:rsidR="00A021F5" w:rsidRPr="00A021F5" w:rsidRDefault="00A021F5" w:rsidP="00A021F5">
      <w:pPr>
        <w:spacing w:after="200" w:line="276" w:lineRule="auto"/>
        <w:rPr>
          <w:rFonts w:asciiTheme="minorHAnsi" w:eastAsiaTheme="minorHAnsi" w:hAnsiTheme="minorHAnsi" w:cstheme="minorBidi"/>
          <w:b/>
          <w:sz w:val="20"/>
          <w:szCs w:val="20"/>
          <w:lang w:eastAsia="en-US"/>
        </w:rPr>
      </w:pP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r w:rsidRPr="00A021F5">
        <w:rPr>
          <w:rFonts w:asciiTheme="minorHAnsi" w:eastAsiaTheme="minorHAnsi" w:hAnsiTheme="minorHAnsi" w:cstheme="minorBidi"/>
          <w:sz w:val="22"/>
          <w:szCs w:val="22"/>
          <w:lang w:eastAsia="en-US"/>
        </w:rPr>
        <w:tab/>
      </w:r>
    </w:p>
    <w:p w:rsidR="00A021F5" w:rsidRPr="00A021F5" w:rsidRDefault="00A021F5" w:rsidP="00A021F5">
      <w:pPr>
        <w:spacing w:after="200" w:line="276" w:lineRule="auto"/>
        <w:rPr>
          <w:rFonts w:asciiTheme="minorHAnsi" w:eastAsiaTheme="minorHAnsi" w:hAnsiTheme="minorHAnsi" w:cstheme="minorBidi"/>
          <w:b/>
          <w:sz w:val="22"/>
          <w:szCs w:val="22"/>
          <w:lang w:eastAsia="en-US"/>
        </w:rPr>
      </w:pPr>
    </w:p>
    <w:tbl>
      <w:tblPr>
        <w:tblStyle w:val="Grilledutableau"/>
        <w:tblW w:w="9322" w:type="dxa"/>
        <w:tblLayout w:type="fixed"/>
        <w:tblLook w:val="01E0" w:firstRow="1" w:lastRow="1" w:firstColumn="1" w:lastColumn="1" w:noHBand="0" w:noVBand="0"/>
      </w:tblPr>
      <w:tblGrid>
        <w:gridCol w:w="817"/>
        <w:gridCol w:w="709"/>
        <w:gridCol w:w="709"/>
        <w:gridCol w:w="850"/>
        <w:gridCol w:w="709"/>
        <w:gridCol w:w="992"/>
        <w:gridCol w:w="709"/>
        <w:gridCol w:w="1134"/>
        <w:gridCol w:w="850"/>
        <w:gridCol w:w="567"/>
        <w:gridCol w:w="284"/>
        <w:gridCol w:w="992"/>
      </w:tblGrid>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2010</w:t>
            </w:r>
          </w:p>
        </w:tc>
        <w:tc>
          <w:tcPr>
            <w:tcW w:w="1559"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2011</w:t>
            </w:r>
          </w:p>
        </w:tc>
        <w:tc>
          <w:tcPr>
            <w:tcW w:w="1701"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2012</w:t>
            </w:r>
          </w:p>
        </w:tc>
        <w:tc>
          <w:tcPr>
            <w:tcW w:w="1134" w:type="dxa"/>
            <w:vMerge w:val="restart"/>
            <w:tcBorders>
              <w:top w:val="single" w:sz="4" w:space="0" w:color="auto"/>
              <w:left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2013</w:t>
            </w:r>
          </w:p>
          <w:p w:rsidR="00A021F5" w:rsidRPr="00A021F5" w:rsidRDefault="00A021F5" w:rsidP="00A021F5">
            <w:pP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rPr>
                <w:sz w:val="20"/>
                <w:szCs w:val="20"/>
                <w:lang w:eastAsia="en-US"/>
              </w:rPr>
            </w:pPr>
            <w:r w:rsidRPr="00A021F5">
              <w:rPr>
                <w:sz w:val="20"/>
                <w:szCs w:val="20"/>
                <w:lang w:eastAsia="en-US"/>
              </w:rPr>
              <w:t>%</w:t>
            </w:r>
          </w:p>
        </w:tc>
        <w:tc>
          <w:tcPr>
            <w:tcW w:w="1417" w:type="dxa"/>
            <w:gridSpan w:val="2"/>
            <w:tcBorders>
              <w:top w:val="single" w:sz="4" w:space="0" w:color="auto"/>
              <w:left w:val="single" w:sz="4" w:space="0" w:color="auto"/>
              <w:bottom w:val="single" w:sz="4" w:space="0" w:color="auto"/>
              <w:right w:val="nil"/>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2014</w:t>
            </w:r>
          </w:p>
        </w:tc>
        <w:tc>
          <w:tcPr>
            <w:tcW w:w="284" w:type="dxa"/>
            <w:tcBorders>
              <w:top w:val="single" w:sz="4" w:space="0" w:color="auto"/>
              <w:left w:val="nil"/>
              <w:bottom w:val="single" w:sz="4" w:space="0" w:color="auto"/>
            </w:tcBorders>
            <w:shd w:val="clear" w:color="auto" w:fill="auto"/>
          </w:tcPr>
          <w:p w:rsidR="00A021F5" w:rsidRPr="00A021F5" w:rsidRDefault="00A021F5" w:rsidP="00A021F5">
            <w:pPr>
              <w:rPr>
                <w:sz w:val="20"/>
                <w:szCs w:val="20"/>
                <w:lang w:eastAsia="en-US"/>
              </w:rPr>
            </w:pP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2015</w:t>
            </w:r>
          </w:p>
        </w:tc>
      </w:tr>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VA</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VA</w:t>
            </w:r>
          </w:p>
        </w:tc>
        <w:tc>
          <w:tcPr>
            <w:tcW w:w="992"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roofErr w:type="spellStart"/>
            <w:r w:rsidRPr="00A021F5">
              <w:rPr>
                <w:sz w:val="20"/>
                <w:szCs w:val="20"/>
                <w:lang w:eastAsia="en-US"/>
              </w:rPr>
              <w:t>Tx</w:t>
            </w:r>
            <w:proofErr w:type="spellEnd"/>
          </w:p>
          <w:p w:rsidR="00A021F5" w:rsidRPr="00A021F5" w:rsidRDefault="00A021F5" w:rsidP="00A021F5">
            <w:pPr>
              <w:rPr>
                <w:sz w:val="20"/>
                <w:szCs w:val="20"/>
                <w:lang w:eastAsia="en-US"/>
              </w:rPr>
            </w:pPr>
            <w:r w:rsidRPr="00A021F5">
              <w:rPr>
                <w:sz w:val="20"/>
                <w:szCs w:val="20"/>
                <w:lang w:eastAsia="en-US"/>
              </w:rPr>
              <w:t>Brut</w:t>
            </w:r>
          </w:p>
          <w:p w:rsidR="00A021F5" w:rsidRPr="00A021F5" w:rsidRDefault="00A021F5" w:rsidP="00A021F5">
            <w:pPr>
              <w:rPr>
                <w:sz w:val="20"/>
                <w:szCs w:val="20"/>
                <w:lang w:eastAsia="en-US"/>
              </w:rPr>
            </w:pPr>
            <w:r w:rsidRPr="00A021F5">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VA</w:t>
            </w:r>
          </w:p>
        </w:tc>
        <w:tc>
          <w:tcPr>
            <w:tcW w:w="1134" w:type="dxa"/>
            <w:vMerge/>
            <w:tcBorders>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850" w:type="dxa"/>
            <w:tcBorders>
              <w:top w:val="single" w:sz="4" w:space="0" w:color="auto"/>
              <w:bottom w:val="single" w:sz="4" w:space="0" w:color="auto"/>
            </w:tcBorders>
            <w:shd w:val="clear" w:color="auto" w:fill="auto"/>
          </w:tcPr>
          <w:p w:rsidR="00A021F5" w:rsidRPr="00A021F5" w:rsidRDefault="00A021F5" w:rsidP="00A021F5">
            <w:pP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rPr>
                <w:sz w:val="20"/>
                <w:szCs w:val="20"/>
                <w:lang w:eastAsia="en-US"/>
              </w:rPr>
            </w:pPr>
            <w:r w:rsidRPr="00A021F5">
              <w:rPr>
                <w:sz w:val="20"/>
                <w:szCs w:val="20"/>
                <w:lang w:eastAsia="en-US"/>
              </w:rPr>
              <w:t>%</w:t>
            </w:r>
          </w:p>
        </w:tc>
        <w:tc>
          <w:tcPr>
            <w:tcW w:w="851" w:type="dxa"/>
            <w:gridSpan w:val="2"/>
            <w:tcBorders>
              <w:top w:val="single" w:sz="4" w:space="0" w:color="auto"/>
              <w:bottom w:val="single" w:sz="4" w:space="0" w:color="auto"/>
            </w:tcBorders>
            <w:shd w:val="clear" w:color="auto" w:fill="auto"/>
          </w:tcPr>
          <w:p w:rsidR="00A021F5" w:rsidRPr="00A021F5" w:rsidRDefault="00A021F5" w:rsidP="00A021F5">
            <w:pPr>
              <w:jc w:val="center"/>
              <w:rPr>
                <w:sz w:val="20"/>
                <w:szCs w:val="20"/>
                <w:lang w:eastAsia="en-US"/>
              </w:rPr>
            </w:pPr>
          </w:p>
          <w:p w:rsidR="00A021F5" w:rsidRPr="00A021F5" w:rsidRDefault="00A021F5" w:rsidP="00A021F5">
            <w:pPr>
              <w:jc w:val="center"/>
              <w:rPr>
                <w:sz w:val="20"/>
                <w:szCs w:val="20"/>
                <w:lang w:eastAsia="en-US"/>
              </w:rPr>
            </w:pPr>
            <w:r w:rsidRPr="00A021F5">
              <w:rPr>
                <w:sz w:val="20"/>
                <w:szCs w:val="20"/>
                <w:lang w:eastAsia="en-US"/>
              </w:rPr>
              <w:t>VA</w:t>
            </w: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proofErr w:type="spellStart"/>
            <w:r w:rsidRPr="00A021F5">
              <w:rPr>
                <w:b/>
                <w:sz w:val="20"/>
                <w:szCs w:val="20"/>
                <w:lang w:eastAsia="en-US"/>
              </w:rPr>
              <w:t>Tx</w:t>
            </w:r>
            <w:proofErr w:type="spellEnd"/>
            <w:r w:rsidRPr="00A021F5">
              <w:rPr>
                <w:b/>
                <w:sz w:val="20"/>
                <w:szCs w:val="20"/>
                <w:lang w:eastAsia="en-US"/>
              </w:rPr>
              <w:t xml:space="preserve"> brut</w:t>
            </w:r>
          </w:p>
          <w:p w:rsidR="00A021F5" w:rsidRPr="00A021F5" w:rsidRDefault="00A021F5" w:rsidP="00A021F5">
            <w:pPr>
              <w:rPr>
                <w:b/>
                <w:sz w:val="20"/>
                <w:szCs w:val="20"/>
                <w:lang w:eastAsia="en-US"/>
              </w:rPr>
            </w:pPr>
            <w:r w:rsidRPr="00A021F5">
              <w:rPr>
                <w:b/>
                <w:sz w:val="20"/>
                <w:szCs w:val="20"/>
                <w:lang w:eastAsia="en-US"/>
              </w:rPr>
              <w:t>%</w:t>
            </w:r>
          </w:p>
        </w:tc>
      </w:tr>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L</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48</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+19</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53</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+23</w:t>
            </w:r>
          </w:p>
        </w:tc>
        <w:tc>
          <w:tcPr>
            <w:tcW w:w="992"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50</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88 </w:t>
            </w:r>
            <w:proofErr w:type="gramStart"/>
            <w:r w:rsidRPr="00A021F5">
              <w:rPr>
                <w:sz w:val="20"/>
                <w:szCs w:val="20"/>
                <w:lang w:eastAsia="en-US"/>
              </w:rPr>
              <w:t>;8</w:t>
            </w:r>
            <w:proofErr w:type="gramEnd"/>
          </w:p>
        </w:tc>
        <w:tc>
          <w:tcPr>
            <w:tcW w:w="85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84</w:t>
            </w:r>
          </w:p>
        </w:tc>
        <w:tc>
          <w:tcPr>
            <w:tcW w:w="851" w:type="dxa"/>
            <w:gridSpan w:val="2"/>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20</w:t>
            </w: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88.3</w:t>
            </w:r>
          </w:p>
        </w:tc>
      </w:tr>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ES</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+28</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+21</w:t>
            </w:r>
          </w:p>
        </w:tc>
        <w:tc>
          <w:tcPr>
            <w:tcW w:w="992"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73,7</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37</w:t>
            </w:r>
          </w:p>
        </w:tc>
        <w:tc>
          <w:tcPr>
            <w:tcW w:w="1134"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87,4</w:t>
            </w:r>
          </w:p>
        </w:tc>
        <w:tc>
          <w:tcPr>
            <w:tcW w:w="85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82.6</w:t>
            </w:r>
          </w:p>
        </w:tc>
        <w:tc>
          <w:tcPr>
            <w:tcW w:w="851" w:type="dxa"/>
            <w:gridSpan w:val="2"/>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49</w:t>
            </w: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84</w:t>
            </w:r>
          </w:p>
        </w:tc>
      </w:tr>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S</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71</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+36</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38</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76,5</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32</w:t>
            </w:r>
          </w:p>
        </w:tc>
        <w:tc>
          <w:tcPr>
            <w:tcW w:w="1134"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71,4</w:t>
            </w:r>
          </w:p>
        </w:tc>
        <w:tc>
          <w:tcPr>
            <w:tcW w:w="85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45</w:t>
            </w:r>
          </w:p>
        </w:tc>
        <w:tc>
          <w:tcPr>
            <w:tcW w:w="851" w:type="dxa"/>
            <w:gridSpan w:val="2"/>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-10</w:t>
            </w: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72</w:t>
            </w:r>
          </w:p>
        </w:tc>
      </w:tr>
      <w:tr w:rsidR="00A021F5" w:rsidRPr="00A021F5" w:rsidTr="00C722CB">
        <w:tc>
          <w:tcPr>
            <w:tcW w:w="817"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STG*</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57</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54</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45,1</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61</w:t>
            </w:r>
          </w:p>
        </w:tc>
        <w:tc>
          <w:tcPr>
            <w:tcW w:w="850"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62.7</w:t>
            </w:r>
          </w:p>
        </w:tc>
        <w:tc>
          <w:tcPr>
            <w:tcW w:w="851" w:type="dxa"/>
            <w:gridSpan w:val="2"/>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-11</w:t>
            </w:r>
          </w:p>
        </w:tc>
        <w:tc>
          <w:tcPr>
            <w:tcW w:w="992"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63.15</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b/>
          <w:sz w:val="22"/>
          <w:szCs w:val="22"/>
          <w:lang w:eastAsia="en-US"/>
        </w:rPr>
      </w:pPr>
      <w:r w:rsidRPr="00A021F5">
        <w:rPr>
          <w:rFonts w:asciiTheme="minorHAnsi" w:eastAsiaTheme="minorHAnsi" w:hAnsiTheme="minorHAnsi" w:cstheme="minorBidi"/>
          <w:b/>
          <w:sz w:val="22"/>
          <w:szCs w:val="22"/>
          <w:lang w:eastAsia="en-US"/>
        </w:rPr>
        <w:t xml:space="preserve">Baccalauréat professionnel   </w:t>
      </w:r>
      <w:r w:rsidRPr="00A021F5">
        <w:rPr>
          <w:rFonts w:asciiTheme="minorHAnsi" w:eastAsiaTheme="minorHAnsi" w:hAnsiTheme="minorHAnsi" w:cstheme="minorBidi"/>
          <w:b/>
          <w:sz w:val="20"/>
          <w:szCs w:val="20"/>
          <w:lang w:eastAsia="en-US"/>
        </w:rPr>
        <w:t xml:space="preserve">   </w:t>
      </w:r>
    </w:p>
    <w:tbl>
      <w:tblPr>
        <w:tblStyle w:val="Grilledutableau"/>
        <w:tblW w:w="6487" w:type="dxa"/>
        <w:tblLayout w:type="fixed"/>
        <w:tblLook w:val="01E0" w:firstRow="1" w:lastRow="1" w:firstColumn="1" w:lastColumn="1" w:noHBand="0" w:noVBand="0"/>
      </w:tblPr>
      <w:tblGrid>
        <w:gridCol w:w="959"/>
        <w:gridCol w:w="850"/>
        <w:gridCol w:w="851"/>
        <w:gridCol w:w="850"/>
        <w:gridCol w:w="851"/>
        <w:gridCol w:w="990"/>
        <w:gridCol w:w="1136"/>
      </w:tblGrid>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2010</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2011</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2012</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2013</w:t>
            </w: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2014</w:t>
            </w:r>
          </w:p>
        </w:tc>
        <w:tc>
          <w:tcPr>
            <w:tcW w:w="1136"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2015</w:t>
            </w:r>
          </w:p>
        </w:tc>
      </w:tr>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section</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  %</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  %</w:t>
            </w:r>
          </w:p>
        </w:tc>
        <w:tc>
          <w:tcPr>
            <w:tcW w:w="850" w:type="dxa"/>
            <w:tcBorders>
              <w:top w:val="single" w:sz="4" w:space="0" w:color="auto"/>
              <w:left w:val="single" w:sz="4" w:space="0" w:color="auto"/>
              <w:right w:val="single" w:sz="4" w:space="0" w:color="auto"/>
            </w:tcBorders>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  %</w:t>
            </w:r>
          </w:p>
        </w:tc>
        <w:tc>
          <w:tcPr>
            <w:tcW w:w="851" w:type="dxa"/>
            <w:tcBorders>
              <w:top w:val="single" w:sz="4" w:space="0" w:color="auto"/>
              <w:left w:val="single" w:sz="4" w:space="0" w:color="auto"/>
              <w:right w:val="single" w:sz="4" w:space="0" w:color="auto"/>
            </w:tcBorders>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jc w:val="center"/>
              <w:rPr>
                <w:sz w:val="20"/>
                <w:szCs w:val="20"/>
                <w:lang w:eastAsia="en-US"/>
              </w:rPr>
            </w:pPr>
            <w:r w:rsidRPr="00A021F5">
              <w:rPr>
                <w:sz w:val="20"/>
                <w:szCs w:val="20"/>
                <w:lang w:eastAsia="en-US"/>
              </w:rPr>
              <w:t>%</w:t>
            </w: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jc w:val="center"/>
              <w:rPr>
                <w:sz w:val="20"/>
                <w:szCs w:val="20"/>
                <w:lang w:eastAsia="en-US"/>
              </w:rPr>
            </w:pPr>
            <w:r w:rsidRPr="00A021F5">
              <w:rPr>
                <w:sz w:val="20"/>
                <w:szCs w:val="20"/>
                <w:lang w:eastAsia="en-US"/>
              </w:rPr>
              <w:t>%</w:t>
            </w:r>
          </w:p>
        </w:tc>
        <w:tc>
          <w:tcPr>
            <w:tcW w:w="1136" w:type="dxa"/>
            <w:tcBorders>
              <w:bottom w:val="single" w:sz="4" w:space="0" w:color="auto"/>
            </w:tcBorders>
            <w:shd w:val="clear" w:color="auto" w:fill="auto"/>
          </w:tcPr>
          <w:p w:rsidR="00A021F5" w:rsidRPr="00A021F5" w:rsidRDefault="00A021F5" w:rsidP="00A021F5">
            <w:pPr>
              <w:jc w:val="center"/>
              <w:rPr>
                <w:sz w:val="20"/>
                <w:szCs w:val="20"/>
                <w:lang w:eastAsia="en-US"/>
              </w:rPr>
            </w:pPr>
            <w:proofErr w:type="spellStart"/>
            <w:r w:rsidRPr="00A021F5">
              <w:rPr>
                <w:sz w:val="20"/>
                <w:szCs w:val="20"/>
                <w:lang w:eastAsia="en-US"/>
              </w:rPr>
              <w:t>Tx</w:t>
            </w:r>
            <w:proofErr w:type="spellEnd"/>
            <w:r w:rsidRPr="00A021F5">
              <w:rPr>
                <w:sz w:val="20"/>
                <w:szCs w:val="20"/>
                <w:lang w:eastAsia="en-US"/>
              </w:rPr>
              <w:t xml:space="preserve"> brut</w:t>
            </w:r>
          </w:p>
          <w:p w:rsidR="00A021F5" w:rsidRPr="00A021F5" w:rsidRDefault="00A021F5" w:rsidP="00A021F5">
            <w:pPr>
              <w:rPr>
                <w:sz w:val="20"/>
                <w:szCs w:val="20"/>
                <w:lang w:eastAsia="en-US"/>
              </w:rPr>
            </w:pPr>
            <w:r w:rsidRPr="00A021F5">
              <w:rPr>
                <w:sz w:val="20"/>
                <w:szCs w:val="20"/>
                <w:lang w:eastAsia="en-US"/>
              </w:rPr>
              <w:t xml:space="preserve">       %</w:t>
            </w:r>
          </w:p>
        </w:tc>
      </w:tr>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Sec</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38,5</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80</w:t>
            </w:r>
          </w:p>
        </w:tc>
        <w:tc>
          <w:tcPr>
            <w:tcW w:w="850" w:type="dxa"/>
            <w:tcBorders>
              <w:left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54,2</w:t>
            </w:r>
          </w:p>
        </w:tc>
        <w:tc>
          <w:tcPr>
            <w:tcW w:w="851" w:type="dxa"/>
            <w:tcBorders>
              <w:left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70,9</w:t>
            </w: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63.1</w:t>
            </w:r>
          </w:p>
        </w:tc>
        <w:tc>
          <w:tcPr>
            <w:tcW w:w="1136"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 xml:space="preserve"> </w:t>
            </w:r>
            <w:r w:rsidRPr="00A021F5">
              <w:rPr>
                <w:b/>
                <w:sz w:val="20"/>
                <w:szCs w:val="20"/>
                <w:lang w:eastAsia="en-US"/>
              </w:rPr>
              <w:t>GA</w:t>
            </w:r>
            <w:r w:rsidRPr="00A021F5">
              <w:rPr>
                <w:sz w:val="20"/>
                <w:szCs w:val="20"/>
                <w:lang w:eastAsia="en-US"/>
              </w:rPr>
              <w:t xml:space="preserve"> 58.44</w:t>
            </w:r>
          </w:p>
        </w:tc>
      </w:tr>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Compta</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30,8</w:t>
            </w: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95,7</w:t>
            </w:r>
          </w:p>
        </w:tc>
        <w:tc>
          <w:tcPr>
            <w:tcW w:w="850" w:type="dxa"/>
            <w:tcBorders>
              <w:left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56 ,2</w:t>
            </w:r>
          </w:p>
        </w:tc>
        <w:tc>
          <w:tcPr>
            <w:tcW w:w="851" w:type="dxa"/>
            <w:tcBorders>
              <w:left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85,7</w:t>
            </w: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58.8</w:t>
            </w:r>
          </w:p>
        </w:tc>
        <w:tc>
          <w:tcPr>
            <w:tcW w:w="1136" w:type="dxa"/>
            <w:tcBorders>
              <w:bottom w:val="single" w:sz="4" w:space="0" w:color="auto"/>
            </w:tcBorders>
            <w:shd w:val="clear" w:color="auto" w:fill="auto"/>
          </w:tcPr>
          <w:p w:rsidR="00A021F5" w:rsidRPr="00A021F5" w:rsidRDefault="00A021F5" w:rsidP="00A021F5">
            <w:pPr>
              <w:rPr>
                <w:sz w:val="20"/>
                <w:szCs w:val="20"/>
                <w:lang w:eastAsia="en-US"/>
              </w:rPr>
            </w:pPr>
          </w:p>
        </w:tc>
      </w:tr>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
        </w:tc>
        <w:tc>
          <w:tcPr>
            <w:tcW w:w="850" w:type="dxa"/>
            <w:tcBorders>
              <w:left w:val="single" w:sz="4" w:space="0" w:color="auto"/>
              <w:right w:val="single" w:sz="4" w:space="0" w:color="auto"/>
            </w:tcBorders>
          </w:tcPr>
          <w:p w:rsidR="00A021F5" w:rsidRPr="00A021F5" w:rsidRDefault="00A021F5" w:rsidP="00A021F5">
            <w:pPr>
              <w:jc w:val="center"/>
              <w:rPr>
                <w:sz w:val="20"/>
                <w:szCs w:val="20"/>
                <w:lang w:eastAsia="en-US"/>
              </w:rPr>
            </w:pPr>
          </w:p>
        </w:tc>
        <w:tc>
          <w:tcPr>
            <w:tcW w:w="851" w:type="dxa"/>
            <w:tcBorders>
              <w:left w:val="single" w:sz="4" w:space="0" w:color="auto"/>
              <w:right w:val="single" w:sz="4" w:space="0" w:color="auto"/>
            </w:tcBorders>
          </w:tcPr>
          <w:p w:rsidR="00A021F5" w:rsidRPr="00A021F5" w:rsidRDefault="00A021F5" w:rsidP="00A021F5">
            <w:pPr>
              <w:jc w:val="center"/>
              <w:rPr>
                <w:sz w:val="20"/>
                <w:szCs w:val="20"/>
                <w:lang w:eastAsia="en-US"/>
              </w:rPr>
            </w:pP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p>
        </w:tc>
        <w:tc>
          <w:tcPr>
            <w:tcW w:w="1136" w:type="dxa"/>
            <w:tcBorders>
              <w:bottom w:val="single" w:sz="4" w:space="0" w:color="auto"/>
            </w:tcBorders>
            <w:shd w:val="clear" w:color="auto" w:fill="auto"/>
          </w:tcPr>
          <w:p w:rsidR="00A021F5" w:rsidRPr="00A021F5" w:rsidRDefault="00A021F5" w:rsidP="00A021F5">
            <w:pPr>
              <w:rPr>
                <w:sz w:val="20"/>
                <w:szCs w:val="20"/>
                <w:lang w:eastAsia="en-US"/>
              </w:rPr>
            </w:pPr>
          </w:p>
        </w:tc>
      </w:tr>
      <w:tr w:rsidR="00A021F5" w:rsidRPr="00A021F5" w:rsidTr="00C722CB">
        <w:tc>
          <w:tcPr>
            <w:tcW w:w="95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HE</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p>
        </w:tc>
        <w:tc>
          <w:tcPr>
            <w:tcW w:w="850" w:type="dxa"/>
            <w:tcBorders>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66,7</w:t>
            </w:r>
          </w:p>
        </w:tc>
        <w:tc>
          <w:tcPr>
            <w:tcW w:w="851" w:type="dxa"/>
            <w:tcBorders>
              <w:left w:val="single" w:sz="4" w:space="0" w:color="auto"/>
              <w:bottom w:val="single" w:sz="4" w:space="0" w:color="auto"/>
              <w:right w:val="single" w:sz="4" w:space="0" w:color="auto"/>
            </w:tcBorders>
          </w:tcPr>
          <w:p w:rsidR="00A021F5" w:rsidRPr="00A021F5" w:rsidRDefault="00A021F5" w:rsidP="00A021F5">
            <w:pPr>
              <w:jc w:val="center"/>
              <w:rPr>
                <w:sz w:val="20"/>
                <w:szCs w:val="20"/>
                <w:lang w:eastAsia="en-US"/>
              </w:rPr>
            </w:pPr>
            <w:r w:rsidRPr="00A021F5">
              <w:rPr>
                <w:sz w:val="20"/>
                <w:szCs w:val="20"/>
                <w:lang w:eastAsia="en-US"/>
              </w:rPr>
              <w:t>66,7</w:t>
            </w:r>
          </w:p>
        </w:tc>
        <w:tc>
          <w:tcPr>
            <w:tcW w:w="990"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70</w:t>
            </w:r>
          </w:p>
        </w:tc>
        <w:tc>
          <w:tcPr>
            <w:tcW w:w="1136" w:type="dxa"/>
            <w:tcBorders>
              <w:bottom w:val="single" w:sz="4" w:space="0" w:color="auto"/>
            </w:tcBorders>
            <w:shd w:val="clear" w:color="auto" w:fill="auto"/>
          </w:tcPr>
          <w:p w:rsidR="00A021F5" w:rsidRPr="00A021F5" w:rsidRDefault="00A021F5" w:rsidP="00A021F5">
            <w:pPr>
              <w:jc w:val="center"/>
              <w:rPr>
                <w:sz w:val="20"/>
                <w:szCs w:val="20"/>
                <w:lang w:eastAsia="en-US"/>
              </w:rPr>
            </w:pPr>
            <w:r w:rsidRPr="00A021F5">
              <w:rPr>
                <w:sz w:val="20"/>
                <w:szCs w:val="20"/>
                <w:lang w:eastAsia="en-US"/>
              </w:rPr>
              <w:t>64.28</w:t>
            </w:r>
          </w:p>
        </w:tc>
      </w:tr>
    </w:tbl>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Si globalement le taux de réussite est inférieur à celui attendu au niveau académique, il est supérieur au taux attendu pour la France. Cela démontre que l’établissement apporte de la valeur ajoutée aux élèves. Les moyens obtenus (horaires et contrats aidés) ont permis d’organiser du soutien individualisé,  de l’aide à la préparation des examens, des bacs blancs. Un nombre conséquent d’élèves ont ainsi obtenu leur diplôme. Les difficultés auxquelles sont confrontés plus de 80% d’entre eux : non francophonie, pauvreté, conditions  de vie précaires (ni eau courante, ni électricité), chômage des parents…n’ont pas eu les conséquences désastreuses qui pouvaient être redoutées. Les réformes de l’enseignement professionnel et du LGT ont introduit de l’accompagnement personnalisé à tous les niveaux. La pérennisation de ces moyens prend le relais des dispositifs mis en place chaque année par le lycée pour favoriser le suivi des élèves et le soutien.</w:t>
      </w:r>
    </w:p>
    <w:p w:rsidR="00A021F5" w:rsidRPr="00A021F5" w:rsidRDefault="00A021F5" w:rsidP="00A021F5">
      <w:pPr>
        <w:spacing w:after="200" w:line="276" w:lineRule="auto"/>
        <w:jc w:val="both"/>
        <w:rPr>
          <w:rFonts w:asciiTheme="minorHAnsi" w:eastAsiaTheme="minorHAnsi" w:hAnsiTheme="minorHAnsi" w:cstheme="minorBidi"/>
          <w:b/>
          <w:sz w:val="22"/>
          <w:szCs w:val="22"/>
          <w:lang w:eastAsia="en-US"/>
        </w:rPr>
      </w:pPr>
      <w:r w:rsidRPr="00A021F5">
        <w:rPr>
          <w:rFonts w:asciiTheme="minorHAnsi" w:eastAsiaTheme="minorHAnsi" w:hAnsiTheme="minorHAnsi" w:cstheme="minorBidi"/>
          <w:sz w:val="22"/>
          <w:szCs w:val="22"/>
          <w:lang w:eastAsia="en-US"/>
        </w:rPr>
        <w:t xml:space="preserve">Le rôle des professeurs coordonnateurs de discipline est fondamental. En accord avec les inspecteurs, ils  impulsent aux  équipes la dynamique indispensable pour tenter d’adapter la pédagogie à la situation. </w:t>
      </w:r>
    </w:p>
    <w:p w:rsidR="00A021F5" w:rsidRPr="00A021F5" w:rsidRDefault="00A021F5" w:rsidP="00A021F5">
      <w:pPr>
        <w:spacing w:after="200" w:line="276" w:lineRule="auto"/>
        <w:rPr>
          <w:rFonts w:asciiTheme="minorHAnsi" w:eastAsiaTheme="minorHAnsi" w:hAnsiTheme="minorHAnsi" w:cstheme="minorBidi"/>
          <w:b/>
          <w:sz w:val="22"/>
          <w:szCs w:val="22"/>
          <w:lang w:eastAsia="en-US"/>
        </w:rPr>
      </w:pPr>
    </w:p>
    <w:p w:rsidR="00A021F5" w:rsidRDefault="00A021F5" w:rsidP="00A021F5">
      <w:pPr>
        <w:spacing w:after="200" w:line="276" w:lineRule="auto"/>
        <w:rPr>
          <w:rFonts w:asciiTheme="minorHAnsi" w:eastAsiaTheme="minorHAnsi" w:hAnsiTheme="minorHAnsi" w:cstheme="minorBidi"/>
          <w:b/>
          <w:sz w:val="22"/>
          <w:szCs w:val="22"/>
          <w:lang w:eastAsia="en-US"/>
        </w:rPr>
      </w:pPr>
    </w:p>
    <w:p w:rsidR="00A021F5" w:rsidRPr="00A021F5" w:rsidRDefault="00A021F5" w:rsidP="00A021F5">
      <w:pPr>
        <w:spacing w:after="200" w:line="276" w:lineRule="auto"/>
        <w:rPr>
          <w:rFonts w:asciiTheme="minorHAnsi" w:eastAsiaTheme="minorHAnsi" w:hAnsiTheme="minorHAnsi" w:cstheme="minorBidi"/>
          <w:b/>
          <w:sz w:val="22"/>
          <w:szCs w:val="22"/>
          <w:lang w:eastAsia="en-US"/>
        </w:rPr>
      </w:pPr>
      <w:r w:rsidRPr="00A021F5">
        <w:rPr>
          <w:rFonts w:asciiTheme="minorHAnsi" w:eastAsiaTheme="minorHAnsi" w:hAnsiTheme="minorHAnsi" w:cstheme="minorBidi"/>
          <w:b/>
          <w:sz w:val="22"/>
          <w:szCs w:val="22"/>
          <w:lang w:eastAsia="en-US"/>
        </w:rPr>
        <w:lastRenderedPageBreak/>
        <w:t xml:space="preserve">REUSSITE AUX CAP, BEP : </w:t>
      </w:r>
    </w:p>
    <w:tbl>
      <w:tblPr>
        <w:tblStyle w:val="Grilledutableau"/>
        <w:tblW w:w="10417" w:type="dxa"/>
        <w:tblLayout w:type="fixed"/>
        <w:tblLook w:val="04A0" w:firstRow="1" w:lastRow="0" w:firstColumn="1" w:lastColumn="0" w:noHBand="0" w:noVBand="1"/>
      </w:tblPr>
      <w:tblGrid>
        <w:gridCol w:w="1316"/>
        <w:gridCol w:w="777"/>
        <w:gridCol w:w="709"/>
        <w:gridCol w:w="850"/>
        <w:gridCol w:w="851"/>
        <w:gridCol w:w="850"/>
        <w:gridCol w:w="992"/>
        <w:gridCol w:w="993"/>
        <w:gridCol w:w="992"/>
        <w:gridCol w:w="992"/>
        <w:gridCol w:w="1095"/>
      </w:tblGrid>
      <w:tr w:rsidR="00A021F5" w:rsidRPr="00A021F5" w:rsidTr="00C722CB">
        <w:tc>
          <w:tcPr>
            <w:tcW w:w="1316" w:type="dxa"/>
          </w:tcPr>
          <w:p w:rsidR="00A021F5" w:rsidRPr="00A021F5" w:rsidRDefault="00A021F5" w:rsidP="00A021F5">
            <w:pPr>
              <w:rPr>
                <w:b/>
                <w:sz w:val="20"/>
                <w:szCs w:val="20"/>
                <w:lang w:eastAsia="en-US"/>
              </w:rPr>
            </w:pPr>
            <w:r w:rsidRPr="00A021F5">
              <w:rPr>
                <w:b/>
                <w:sz w:val="20"/>
                <w:szCs w:val="20"/>
                <w:lang w:eastAsia="en-US"/>
              </w:rPr>
              <w:t>Résultats en%</w:t>
            </w:r>
          </w:p>
        </w:tc>
        <w:tc>
          <w:tcPr>
            <w:tcW w:w="777" w:type="dxa"/>
          </w:tcPr>
          <w:p w:rsidR="00A021F5" w:rsidRPr="00A021F5" w:rsidRDefault="00A021F5" w:rsidP="00A021F5">
            <w:pPr>
              <w:rPr>
                <w:b/>
                <w:sz w:val="20"/>
                <w:szCs w:val="20"/>
                <w:lang w:eastAsia="en-US"/>
              </w:rPr>
            </w:pPr>
            <w:r w:rsidRPr="00A021F5">
              <w:rPr>
                <w:b/>
                <w:sz w:val="20"/>
                <w:szCs w:val="20"/>
                <w:lang w:eastAsia="en-US"/>
              </w:rPr>
              <w:t>2006</w:t>
            </w:r>
          </w:p>
        </w:tc>
        <w:tc>
          <w:tcPr>
            <w:tcW w:w="709" w:type="dxa"/>
          </w:tcPr>
          <w:p w:rsidR="00A021F5" w:rsidRPr="00A021F5" w:rsidRDefault="00A021F5" w:rsidP="00A021F5">
            <w:pPr>
              <w:rPr>
                <w:b/>
                <w:sz w:val="20"/>
                <w:szCs w:val="20"/>
                <w:lang w:eastAsia="en-US"/>
              </w:rPr>
            </w:pPr>
            <w:r w:rsidRPr="00A021F5">
              <w:rPr>
                <w:b/>
                <w:sz w:val="20"/>
                <w:szCs w:val="20"/>
                <w:lang w:eastAsia="en-US"/>
              </w:rPr>
              <w:t>2007</w:t>
            </w:r>
          </w:p>
        </w:tc>
        <w:tc>
          <w:tcPr>
            <w:tcW w:w="850" w:type="dxa"/>
          </w:tcPr>
          <w:p w:rsidR="00A021F5" w:rsidRPr="00A021F5" w:rsidRDefault="00A021F5" w:rsidP="00A021F5">
            <w:pPr>
              <w:rPr>
                <w:b/>
                <w:sz w:val="20"/>
                <w:szCs w:val="20"/>
                <w:lang w:eastAsia="en-US"/>
              </w:rPr>
            </w:pPr>
            <w:r w:rsidRPr="00A021F5">
              <w:rPr>
                <w:b/>
                <w:sz w:val="20"/>
                <w:szCs w:val="20"/>
                <w:lang w:eastAsia="en-US"/>
              </w:rPr>
              <w:t>2008</w:t>
            </w:r>
          </w:p>
        </w:tc>
        <w:tc>
          <w:tcPr>
            <w:tcW w:w="851" w:type="dxa"/>
          </w:tcPr>
          <w:p w:rsidR="00A021F5" w:rsidRPr="00A021F5" w:rsidRDefault="00A021F5" w:rsidP="00A021F5">
            <w:pPr>
              <w:rPr>
                <w:b/>
                <w:sz w:val="20"/>
                <w:szCs w:val="20"/>
                <w:lang w:eastAsia="en-US"/>
              </w:rPr>
            </w:pPr>
            <w:r w:rsidRPr="00A021F5">
              <w:rPr>
                <w:b/>
                <w:sz w:val="20"/>
                <w:szCs w:val="20"/>
                <w:lang w:eastAsia="en-US"/>
              </w:rPr>
              <w:t>2009</w:t>
            </w:r>
          </w:p>
        </w:tc>
        <w:tc>
          <w:tcPr>
            <w:tcW w:w="850" w:type="dxa"/>
          </w:tcPr>
          <w:p w:rsidR="00A021F5" w:rsidRPr="00A021F5" w:rsidRDefault="00A021F5" w:rsidP="00A021F5">
            <w:pPr>
              <w:rPr>
                <w:b/>
                <w:sz w:val="20"/>
                <w:szCs w:val="20"/>
                <w:lang w:eastAsia="en-US"/>
              </w:rPr>
            </w:pPr>
            <w:r w:rsidRPr="00A021F5">
              <w:rPr>
                <w:b/>
                <w:sz w:val="20"/>
                <w:szCs w:val="20"/>
                <w:lang w:eastAsia="en-US"/>
              </w:rPr>
              <w:t>2010</w:t>
            </w:r>
          </w:p>
        </w:tc>
        <w:tc>
          <w:tcPr>
            <w:tcW w:w="992" w:type="dxa"/>
          </w:tcPr>
          <w:p w:rsidR="00A021F5" w:rsidRPr="00A021F5" w:rsidRDefault="00A021F5" w:rsidP="00A021F5">
            <w:pPr>
              <w:rPr>
                <w:b/>
                <w:sz w:val="20"/>
                <w:szCs w:val="20"/>
                <w:lang w:eastAsia="en-US"/>
              </w:rPr>
            </w:pPr>
            <w:r w:rsidRPr="00A021F5">
              <w:rPr>
                <w:b/>
                <w:sz w:val="20"/>
                <w:szCs w:val="20"/>
                <w:lang w:eastAsia="en-US"/>
              </w:rPr>
              <w:t>2011</w:t>
            </w:r>
          </w:p>
        </w:tc>
        <w:tc>
          <w:tcPr>
            <w:tcW w:w="993" w:type="dxa"/>
          </w:tcPr>
          <w:p w:rsidR="00A021F5" w:rsidRPr="00A021F5" w:rsidRDefault="00A021F5" w:rsidP="00A021F5">
            <w:pPr>
              <w:rPr>
                <w:b/>
                <w:sz w:val="20"/>
                <w:szCs w:val="20"/>
                <w:lang w:eastAsia="en-US"/>
              </w:rPr>
            </w:pPr>
            <w:r w:rsidRPr="00A021F5">
              <w:rPr>
                <w:b/>
                <w:sz w:val="20"/>
                <w:szCs w:val="20"/>
                <w:lang w:eastAsia="en-US"/>
              </w:rPr>
              <w:t>2012</w:t>
            </w:r>
          </w:p>
        </w:tc>
        <w:tc>
          <w:tcPr>
            <w:tcW w:w="992" w:type="dxa"/>
          </w:tcPr>
          <w:p w:rsidR="00A021F5" w:rsidRPr="00A021F5" w:rsidRDefault="00A021F5" w:rsidP="00A021F5">
            <w:pPr>
              <w:rPr>
                <w:b/>
                <w:sz w:val="20"/>
                <w:szCs w:val="20"/>
                <w:lang w:eastAsia="en-US"/>
              </w:rPr>
            </w:pPr>
            <w:r w:rsidRPr="00A021F5">
              <w:rPr>
                <w:b/>
                <w:sz w:val="20"/>
                <w:szCs w:val="20"/>
                <w:lang w:eastAsia="en-US"/>
              </w:rPr>
              <w:t>2013</w:t>
            </w:r>
          </w:p>
        </w:tc>
        <w:tc>
          <w:tcPr>
            <w:tcW w:w="992"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2014</w:t>
            </w:r>
          </w:p>
        </w:tc>
        <w:tc>
          <w:tcPr>
            <w:tcW w:w="1095"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2015</w:t>
            </w:r>
          </w:p>
        </w:tc>
      </w:tr>
      <w:tr w:rsidR="00A021F5" w:rsidRPr="00A021F5" w:rsidTr="00C722CB">
        <w:tc>
          <w:tcPr>
            <w:tcW w:w="1316" w:type="dxa"/>
          </w:tcPr>
          <w:p w:rsidR="00A021F5" w:rsidRPr="00A021F5" w:rsidRDefault="00A021F5" w:rsidP="00A021F5">
            <w:pPr>
              <w:rPr>
                <w:b/>
                <w:sz w:val="20"/>
                <w:szCs w:val="20"/>
                <w:lang w:eastAsia="en-US"/>
              </w:rPr>
            </w:pPr>
            <w:r w:rsidRPr="00A021F5">
              <w:rPr>
                <w:b/>
                <w:sz w:val="20"/>
                <w:szCs w:val="20"/>
                <w:lang w:eastAsia="en-US"/>
              </w:rPr>
              <w:t>CAP</w:t>
            </w:r>
          </w:p>
        </w:tc>
        <w:tc>
          <w:tcPr>
            <w:tcW w:w="777" w:type="dxa"/>
          </w:tcPr>
          <w:p w:rsidR="00A021F5" w:rsidRPr="00A021F5" w:rsidRDefault="00A021F5" w:rsidP="00A021F5">
            <w:pPr>
              <w:rPr>
                <w:b/>
                <w:sz w:val="20"/>
                <w:szCs w:val="20"/>
                <w:lang w:eastAsia="en-US"/>
              </w:rPr>
            </w:pPr>
            <w:r w:rsidRPr="00A021F5">
              <w:rPr>
                <w:b/>
                <w:sz w:val="20"/>
                <w:szCs w:val="20"/>
                <w:lang w:eastAsia="en-US"/>
              </w:rPr>
              <w:t>85</w:t>
            </w:r>
          </w:p>
        </w:tc>
        <w:tc>
          <w:tcPr>
            <w:tcW w:w="709" w:type="dxa"/>
          </w:tcPr>
          <w:p w:rsidR="00A021F5" w:rsidRPr="00A021F5" w:rsidRDefault="00A021F5" w:rsidP="00A021F5">
            <w:pPr>
              <w:rPr>
                <w:b/>
                <w:sz w:val="20"/>
                <w:szCs w:val="20"/>
                <w:lang w:eastAsia="en-US"/>
              </w:rPr>
            </w:pPr>
            <w:r w:rsidRPr="00A021F5">
              <w:rPr>
                <w:b/>
                <w:sz w:val="20"/>
                <w:szCs w:val="20"/>
                <w:lang w:eastAsia="en-US"/>
              </w:rPr>
              <w:t>85</w:t>
            </w:r>
          </w:p>
        </w:tc>
        <w:tc>
          <w:tcPr>
            <w:tcW w:w="850" w:type="dxa"/>
          </w:tcPr>
          <w:p w:rsidR="00A021F5" w:rsidRPr="00A021F5" w:rsidRDefault="00A021F5" w:rsidP="00A021F5">
            <w:pPr>
              <w:rPr>
                <w:b/>
                <w:sz w:val="20"/>
                <w:szCs w:val="20"/>
                <w:lang w:eastAsia="en-US"/>
              </w:rPr>
            </w:pPr>
            <w:r w:rsidRPr="00A021F5">
              <w:rPr>
                <w:b/>
                <w:sz w:val="20"/>
                <w:szCs w:val="20"/>
                <w:lang w:eastAsia="en-US"/>
              </w:rPr>
              <w:t>82</w:t>
            </w:r>
          </w:p>
        </w:tc>
        <w:tc>
          <w:tcPr>
            <w:tcW w:w="851" w:type="dxa"/>
          </w:tcPr>
          <w:p w:rsidR="00A021F5" w:rsidRPr="00A021F5" w:rsidRDefault="00A021F5" w:rsidP="00A021F5">
            <w:pPr>
              <w:rPr>
                <w:b/>
                <w:sz w:val="20"/>
                <w:szCs w:val="20"/>
                <w:lang w:eastAsia="en-US"/>
              </w:rPr>
            </w:pPr>
            <w:r w:rsidRPr="00A021F5">
              <w:rPr>
                <w:b/>
                <w:sz w:val="20"/>
                <w:szCs w:val="20"/>
                <w:lang w:eastAsia="en-US"/>
              </w:rPr>
              <w:t>90</w:t>
            </w:r>
          </w:p>
        </w:tc>
        <w:tc>
          <w:tcPr>
            <w:tcW w:w="850" w:type="dxa"/>
          </w:tcPr>
          <w:p w:rsidR="00A021F5" w:rsidRPr="00A021F5" w:rsidRDefault="00A021F5" w:rsidP="00A021F5">
            <w:pPr>
              <w:rPr>
                <w:b/>
                <w:sz w:val="20"/>
                <w:szCs w:val="20"/>
                <w:lang w:eastAsia="en-US"/>
              </w:rPr>
            </w:pPr>
            <w:r w:rsidRPr="00A021F5">
              <w:rPr>
                <w:b/>
                <w:sz w:val="20"/>
                <w:szCs w:val="20"/>
                <w:lang w:eastAsia="en-US"/>
              </w:rPr>
              <w:t>61</w:t>
            </w:r>
          </w:p>
        </w:tc>
        <w:tc>
          <w:tcPr>
            <w:tcW w:w="992" w:type="dxa"/>
          </w:tcPr>
          <w:p w:rsidR="00A021F5" w:rsidRPr="00A021F5" w:rsidRDefault="00A021F5" w:rsidP="00A021F5">
            <w:pPr>
              <w:rPr>
                <w:b/>
                <w:sz w:val="20"/>
                <w:szCs w:val="20"/>
                <w:lang w:eastAsia="en-US"/>
              </w:rPr>
            </w:pPr>
            <w:r w:rsidRPr="00A021F5">
              <w:rPr>
                <w:b/>
                <w:sz w:val="20"/>
                <w:szCs w:val="20"/>
                <w:lang w:eastAsia="en-US"/>
              </w:rPr>
              <w:t>71,4</w:t>
            </w:r>
          </w:p>
        </w:tc>
        <w:tc>
          <w:tcPr>
            <w:tcW w:w="993" w:type="dxa"/>
          </w:tcPr>
          <w:p w:rsidR="00A021F5" w:rsidRPr="00A021F5" w:rsidRDefault="00A021F5" w:rsidP="00A021F5">
            <w:pPr>
              <w:rPr>
                <w:b/>
                <w:sz w:val="20"/>
                <w:szCs w:val="20"/>
                <w:lang w:eastAsia="en-US"/>
              </w:rPr>
            </w:pPr>
            <w:r w:rsidRPr="00A021F5">
              <w:rPr>
                <w:b/>
                <w:sz w:val="20"/>
                <w:szCs w:val="20"/>
                <w:lang w:eastAsia="en-US"/>
              </w:rPr>
              <w:t>65,4</w:t>
            </w:r>
          </w:p>
        </w:tc>
        <w:tc>
          <w:tcPr>
            <w:tcW w:w="992" w:type="dxa"/>
          </w:tcPr>
          <w:p w:rsidR="00A021F5" w:rsidRPr="00A021F5" w:rsidRDefault="00A021F5" w:rsidP="00A021F5">
            <w:pPr>
              <w:rPr>
                <w:b/>
                <w:sz w:val="20"/>
                <w:szCs w:val="20"/>
                <w:lang w:eastAsia="en-US"/>
              </w:rPr>
            </w:pPr>
            <w:r w:rsidRPr="00A021F5">
              <w:rPr>
                <w:b/>
                <w:sz w:val="20"/>
                <w:szCs w:val="20"/>
                <w:lang w:eastAsia="en-US"/>
              </w:rPr>
              <w:t>65,2</w:t>
            </w:r>
          </w:p>
        </w:tc>
        <w:tc>
          <w:tcPr>
            <w:tcW w:w="992"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84.2</w:t>
            </w:r>
          </w:p>
        </w:tc>
        <w:tc>
          <w:tcPr>
            <w:tcW w:w="1095"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84.2</w:t>
            </w:r>
          </w:p>
        </w:tc>
      </w:tr>
      <w:tr w:rsidR="00A021F5" w:rsidRPr="00A021F5" w:rsidTr="00C722CB">
        <w:tc>
          <w:tcPr>
            <w:tcW w:w="1316" w:type="dxa"/>
          </w:tcPr>
          <w:p w:rsidR="00A021F5" w:rsidRPr="00A021F5" w:rsidRDefault="00A021F5" w:rsidP="00A021F5">
            <w:pPr>
              <w:rPr>
                <w:b/>
                <w:sz w:val="20"/>
                <w:szCs w:val="20"/>
                <w:lang w:eastAsia="en-US"/>
              </w:rPr>
            </w:pPr>
            <w:r w:rsidRPr="00A021F5">
              <w:rPr>
                <w:b/>
                <w:sz w:val="20"/>
                <w:szCs w:val="20"/>
                <w:lang w:eastAsia="en-US"/>
              </w:rPr>
              <w:t>BEP</w:t>
            </w:r>
          </w:p>
        </w:tc>
        <w:tc>
          <w:tcPr>
            <w:tcW w:w="777" w:type="dxa"/>
          </w:tcPr>
          <w:p w:rsidR="00A021F5" w:rsidRPr="00A021F5" w:rsidRDefault="00A021F5" w:rsidP="00A021F5">
            <w:pPr>
              <w:rPr>
                <w:b/>
                <w:sz w:val="20"/>
                <w:szCs w:val="20"/>
                <w:lang w:eastAsia="en-US"/>
              </w:rPr>
            </w:pPr>
            <w:r w:rsidRPr="00A021F5">
              <w:rPr>
                <w:b/>
                <w:sz w:val="20"/>
                <w:szCs w:val="20"/>
                <w:lang w:eastAsia="en-US"/>
              </w:rPr>
              <w:t>40</w:t>
            </w:r>
          </w:p>
        </w:tc>
        <w:tc>
          <w:tcPr>
            <w:tcW w:w="709" w:type="dxa"/>
          </w:tcPr>
          <w:p w:rsidR="00A021F5" w:rsidRPr="00A021F5" w:rsidRDefault="00A021F5" w:rsidP="00A021F5">
            <w:pPr>
              <w:rPr>
                <w:b/>
                <w:sz w:val="20"/>
                <w:szCs w:val="20"/>
                <w:lang w:eastAsia="en-US"/>
              </w:rPr>
            </w:pPr>
            <w:r w:rsidRPr="00A021F5">
              <w:rPr>
                <w:b/>
                <w:sz w:val="20"/>
                <w:szCs w:val="20"/>
                <w:lang w:eastAsia="en-US"/>
              </w:rPr>
              <w:t>40</w:t>
            </w:r>
          </w:p>
        </w:tc>
        <w:tc>
          <w:tcPr>
            <w:tcW w:w="850" w:type="dxa"/>
          </w:tcPr>
          <w:p w:rsidR="00A021F5" w:rsidRPr="00A021F5" w:rsidRDefault="00A021F5" w:rsidP="00A021F5">
            <w:pPr>
              <w:rPr>
                <w:b/>
                <w:sz w:val="20"/>
                <w:szCs w:val="20"/>
                <w:lang w:eastAsia="en-US"/>
              </w:rPr>
            </w:pPr>
            <w:r w:rsidRPr="00A021F5">
              <w:rPr>
                <w:b/>
                <w:sz w:val="20"/>
                <w:szCs w:val="20"/>
                <w:lang w:eastAsia="en-US"/>
              </w:rPr>
              <w:t>50</w:t>
            </w:r>
          </w:p>
        </w:tc>
        <w:tc>
          <w:tcPr>
            <w:tcW w:w="851" w:type="dxa"/>
          </w:tcPr>
          <w:p w:rsidR="00A021F5" w:rsidRPr="00A021F5" w:rsidRDefault="00A021F5" w:rsidP="00A021F5">
            <w:pPr>
              <w:rPr>
                <w:b/>
                <w:sz w:val="20"/>
                <w:szCs w:val="20"/>
                <w:lang w:eastAsia="en-US"/>
              </w:rPr>
            </w:pPr>
            <w:r w:rsidRPr="00A021F5">
              <w:rPr>
                <w:b/>
                <w:sz w:val="20"/>
                <w:szCs w:val="20"/>
                <w:lang w:eastAsia="en-US"/>
              </w:rPr>
              <w:t>49</w:t>
            </w:r>
          </w:p>
        </w:tc>
        <w:tc>
          <w:tcPr>
            <w:tcW w:w="850" w:type="dxa"/>
          </w:tcPr>
          <w:p w:rsidR="00A021F5" w:rsidRPr="00A021F5" w:rsidRDefault="00A021F5" w:rsidP="00A021F5">
            <w:pPr>
              <w:rPr>
                <w:b/>
                <w:sz w:val="20"/>
                <w:szCs w:val="20"/>
                <w:lang w:eastAsia="en-US"/>
              </w:rPr>
            </w:pPr>
            <w:r w:rsidRPr="00A021F5">
              <w:rPr>
                <w:b/>
                <w:sz w:val="20"/>
                <w:szCs w:val="20"/>
                <w:lang w:eastAsia="en-US"/>
              </w:rPr>
              <w:t>49</w:t>
            </w:r>
          </w:p>
        </w:tc>
        <w:tc>
          <w:tcPr>
            <w:tcW w:w="992" w:type="dxa"/>
          </w:tcPr>
          <w:p w:rsidR="00A021F5" w:rsidRPr="00A021F5" w:rsidRDefault="00A021F5" w:rsidP="00A021F5">
            <w:pPr>
              <w:rPr>
                <w:b/>
                <w:sz w:val="20"/>
                <w:szCs w:val="20"/>
                <w:lang w:eastAsia="en-US"/>
              </w:rPr>
            </w:pPr>
          </w:p>
        </w:tc>
        <w:tc>
          <w:tcPr>
            <w:tcW w:w="993" w:type="dxa"/>
          </w:tcPr>
          <w:p w:rsidR="00A021F5" w:rsidRPr="00A021F5" w:rsidRDefault="00A021F5" w:rsidP="00A021F5">
            <w:pPr>
              <w:rPr>
                <w:b/>
                <w:sz w:val="20"/>
                <w:szCs w:val="20"/>
                <w:lang w:eastAsia="en-US"/>
              </w:rPr>
            </w:pPr>
            <w:r w:rsidRPr="00A021F5">
              <w:rPr>
                <w:b/>
                <w:sz w:val="20"/>
                <w:szCs w:val="20"/>
                <w:lang w:eastAsia="en-US"/>
              </w:rPr>
              <w:t>61,5</w:t>
            </w:r>
          </w:p>
        </w:tc>
        <w:tc>
          <w:tcPr>
            <w:tcW w:w="992" w:type="dxa"/>
          </w:tcPr>
          <w:p w:rsidR="00A021F5" w:rsidRPr="00A021F5" w:rsidRDefault="00A021F5" w:rsidP="00A021F5">
            <w:pPr>
              <w:rPr>
                <w:b/>
                <w:sz w:val="20"/>
                <w:szCs w:val="20"/>
                <w:lang w:eastAsia="en-US"/>
              </w:rPr>
            </w:pPr>
            <w:r w:rsidRPr="00A021F5">
              <w:rPr>
                <w:b/>
                <w:sz w:val="20"/>
                <w:szCs w:val="20"/>
                <w:lang w:eastAsia="en-US"/>
              </w:rPr>
              <w:t>53,8</w:t>
            </w:r>
          </w:p>
        </w:tc>
        <w:tc>
          <w:tcPr>
            <w:tcW w:w="992"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51.5</w:t>
            </w:r>
          </w:p>
        </w:tc>
        <w:tc>
          <w:tcPr>
            <w:tcW w:w="1095"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45</w:t>
            </w:r>
          </w:p>
        </w:tc>
      </w:tr>
      <w:tr w:rsidR="00A021F5" w:rsidRPr="00A021F5" w:rsidTr="00C722CB">
        <w:tc>
          <w:tcPr>
            <w:tcW w:w="1316" w:type="dxa"/>
          </w:tcPr>
          <w:p w:rsidR="00A021F5" w:rsidRPr="00A021F5" w:rsidRDefault="00A021F5" w:rsidP="00A021F5">
            <w:pPr>
              <w:rPr>
                <w:b/>
                <w:sz w:val="20"/>
                <w:szCs w:val="20"/>
                <w:lang w:eastAsia="en-US"/>
              </w:rPr>
            </w:pPr>
            <w:r w:rsidRPr="00A021F5">
              <w:rPr>
                <w:b/>
                <w:sz w:val="20"/>
                <w:szCs w:val="20"/>
                <w:lang w:eastAsia="en-US"/>
              </w:rPr>
              <w:t>BAC PRO*</w:t>
            </w:r>
          </w:p>
        </w:tc>
        <w:tc>
          <w:tcPr>
            <w:tcW w:w="777" w:type="dxa"/>
          </w:tcPr>
          <w:p w:rsidR="00A021F5" w:rsidRPr="00A021F5" w:rsidRDefault="00A021F5" w:rsidP="00A021F5">
            <w:pPr>
              <w:rPr>
                <w:b/>
                <w:sz w:val="20"/>
                <w:szCs w:val="20"/>
                <w:lang w:eastAsia="en-US"/>
              </w:rPr>
            </w:pPr>
          </w:p>
        </w:tc>
        <w:tc>
          <w:tcPr>
            <w:tcW w:w="709" w:type="dxa"/>
          </w:tcPr>
          <w:p w:rsidR="00A021F5" w:rsidRPr="00A021F5" w:rsidRDefault="00A021F5" w:rsidP="00A021F5">
            <w:pPr>
              <w:rPr>
                <w:b/>
                <w:sz w:val="20"/>
                <w:szCs w:val="20"/>
                <w:lang w:eastAsia="en-US"/>
              </w:rPr>
            </w:pPr>
          </w:p>
        </w:tc>
        <w:tc>
          <w:tcPr>
            <w:tcW w:w="850" w:type="dxa"/>
          </w:tcPr>
          <w:p w:rsidR="00A021F5" w:rsidRPr="00A021F5" w:rsidRDefault="00A021F5" w:rsidP="00A021F5">
            <w:pPr>
              <w:rPr>
                <w:b/>
                <w:sz w:val="20"/>
                <w:szCs w:val="20"/>
                <w:lang w:eastAsia="en-US"/>
              </w:rPr>
            </w:pPr>
            <w:r w:rsidRPr="00A021F5">
              <w:rPr>
                <w:b/>
                <w:sz w:val="20"/>
                <w:szCs w:val="20"/>
                <w:lang w:eastAsia="en-US"/>
              </w:rPr>
              <w:t>44</w:t>
            </w:r>
          </w:p>
        </w:tc>
        <w:tc>
          <w:tcPr>
            <w:tcW w:w="851" w:type="dxa"/>
          </w:tcPr>
          <w:p w:rsidR="00A021F5" w:rsidRPr="00A021F5" w:rsidRDefault="00A021F5" w:rsidP="00A021F5">
            <w:pPr>
              <w:rPr>
                <w:b/>
                <w:sz w:val="20"/>
                <w:szCs w:val="20"/>
                <w:lang w:eastAsia="en-US"/>
              </w:rPr>
            </w:pPr>
            <w:r w:rsidRPr="00A021F5">
              <w:rPr>
                <w:b/>
                <w:sz w:val="20"/>
                <w:szCs w:val="20"/>
                <w:lang w:eastAsia="en-US"/>
              </w:rPr>
              <w:t>78</w:t>
            </w:r>
          </w:p>
        </w:tc>
        <w:tc>
          <w:tcPr>
            <w:tcW w:w="850" w:type="dxa"/>
          </w:tcPr>
          <w:p w:rsidR="00A021F5" w:rsidRPr="00A021F5" w:rsidRDefault="00A021F5" w:rsidP="00A021F5">
            <w:pPr>
              <w:rPr>
                <w:b/>
                <w:sz w:val="20"/>
                <w:szCs w:val="20"/>
                <w:lang w:eastAsia="en-US"/>
              </w:rPr>
            </w:pPr>
            <w:r w:rsidRPr="00A021F5">
              <w:rPr>
                <w:b/>
                <w:sz w:val="20"/>
                <w:szCs w:val="20"/>
                <w:lang w:eastAsia="en-US"/>
              </w:rPr>
              <w:t>34,7</w:t>
            </w:r>
          </w:p>
        </w:tc>
        <w:tc>
          <w:tcPr>
            <w:tcW w:w="992" w:type="dxa"/>
          </w:tcPr>
          <w:p w:rsidR="00A021F5" w:rsidRPr="00A021F5" w:rsidRDefault="00A021F5" w:rsidP="00A021F5">
            <w:pPr>
              <w:rPr>
                <w:b/>
                <w:sz w:val="20"/>
                <w:szCs w:val="20"/>
                <w:lang w:eastAsia="en-US"/>
              </w:rPr>
            </w:pPr>
            <w:r w:rsidRPr="00A021F5">
              <w:rPr>
                <w:b/>
                <w:sz w:val="20"/>
                <w:szCs w:val="20"/>
                <w:lang w:eastAsia="en-US"/>
              </w:rPr>
              <w:t>88</w:t>
            </w:r>
          </w:p>
        </w:tc>
        <w:tc>
          <w:tcPr>
            <w:tcW w:w="993" w:type="dxa"/>
          </w:tcPr>
          <w:p w:rsidR="00A021F5" w:rsidRPr="00A021F5" w:rsidRDefault="00A021F5" w:rsidP="00A021F5">
            <w:pPr>
              <w:rPr>
                <w:b/>
                <w:sz w:val="20"/>
                <w:szCs w:val="20"/>
                <w:lang w:eastAsia="en-US"/>
              </w:rPr>
            </w:pPr>
            <w:r w:rsidRPr="00A021F5">
              <w:rPr>
                <w:b/>
                <w:sz w:val="20"/>
                <w:szCs w:val="20"/>
                <w:lang w:eastAsia="en-US"/>
              </w:rPr>
              <w:t>59 ,1</w:t>
            </w:r>
          </w:p>
        </w:tc>
        <w:tc>
          <w:tcPr>
            <w:tcW w:w="992" w:type="dxa"/>
          </w:tcPr>
          <w:p w:rsidR="00A021F5" w:rsidRPr="00A021F5" w:rsidRDefault="00A021F5" w:rsidP="00A021F5">
            <w:pPr>
              <w:rPr>
                <w:b/>
                <w:sz w:val="20"/>
                <w:szCs w:val="20"/>
                <w:lang w:eastAsia="en-US"/>
              </w:rPr>
            </w:pPr>
            <w:r w:rsidRPr="00A021F5">
              <w:rPr>
                <w:b/>
                <w:sz w:val="20"/>
                <w:szCs w:val="20"/>
                <w:lang w:eastAsia="en-US"/>
              </w:rPr>
              <w:t>76</w:t>
            </w:r>
          </w:p>
        </w:tc>
        <w:tc>
          <w:tcPr>
            <w:tcW w:w="992"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63</w:t>
            </w:r>
          </w:p>
        </w:tc>
        <w:tc>
          <w:tcPr>
            <w:tcW w:w="1095" w:type="dxa"/>
            <w:tcBorders>
              <w:bottom w:val="single" w:sz="4" w:space="0" w:color="auto"/>
            </w:tcBorders>
            <w:shd w:val="clear" w:color="auto" w:fill="auto"/>
          </w:tcPr>
          <w:p w:rsidR="00A021F5" w:rsidRPr="00A021F5" w:rsidRDefault="00A021F5" w:rsidP="00A021F5">
            <w:pPr>
              <w:jc w:val="center"/>
              <w:rPr>
                <w:b/>
                <w:sz w:val="20"/>
                <w:szCs w:val="20"/>
                <w:lang w:eastAsia="en-US"/>
              </w:rPr>
            </w:pPr>
            <w:r w:rsidRPr="00A021F5">
              <w:rPr>
                <w:b/>
                <w:sz w:val="20"/>
                <w:szCs w:val="20"/>
                <w:lang w:eastAsia="en-US"/>
              </w:rPr>
              <w:t>59.34</w:t>
            </w:r>
          </w:p>
        </w:tc>
      </w:tr>
      <w:tr w:rsidR="00A021F5" w:rsidRPr="00A021F5" w:rsidTr="00C722CB">
        <w:tc>
          <w:tcPr>
            <w:tcW w:w="8330" w:type="dxa"/>
            <w:gridSpan w:val="9"/>
            <w:tcBorders>
              <w:bottom w:val="single" w:sz="4" w:space="0" w:color="auto"/>
            </w:tcBorders>
          </w:tcPr>
          <w:p w:rsidR="00A021F5" w:rsidRPr="00A021F5" w:rsidRDefault="00A021F5" w:rsidP="00A021F5">
            <w:pPr>
              <w:rPr>
                <w:b/>
                <w:sz w:val="20"/>
                <w:szCs w:val="20"/>
                <w:lang w:eastAsia="en-US"/>
              </w:rPr>
            </w:pPr>
            <w:r w:rsidRPr="00A021F5">
              <w:rPr>
                <w:b/>
                <w:sz w:val="20"/>
                <w:szCs w:val="20"/>
                <w:lang w:eastAsia="en-US"/>
              </w:rPr>
              <w:t>*Changement de carte scolaire en 2009-2010, ouverture bac pro tertiaire administratif (secrétariat, comptabilité) fermeture Bac pro vente et SAAC</w:t>
            </w:r>
          </w:p>
        </w:tc>
        <w:tc>
          <w:tcPr>
            <w:tcW w:w="992" w:type="dxa"/>
            <w:tcBorders>
              <w:bottom w:val="single" w:sz="4" w:space="0" w:color="auto"/>
            </w:tcBorders>
            <w:shd w:val="clear" w:color="auto" w:fill="auto"/>
          </w:tcPr>
          <w:p w:rsidR="00A021F5" w:rsidRPr="00A021F5" w:rsidRDefault="00A021F5" w:rsidP="00A021F5">
            <w:pPr>
              <w:rPr>
                <w:sz w:val="20"/>
                <w:szCs w:val="20"/>
                <w:lang w:eastAsia="en-US"/>
              </w:rPr>
            </w:pPr>
          </w:p>
        </w:tc>
        <w:tc>
          <w:tcPr>
            <w:tcW w:w="1095" w:type="dxa"/>
            <w:tcBorders>
              <w:bottom w:val="nil"/>
            </w:tcBorders>
            <w:shd w:val="clear" w:color="auto" w:fill="auto"/>
          </w:tcPr>
          <w:p w:rsidR="00A021F5" w:rsidRPr="00A021F5" w:rsidRDefault="00A021F5" w:rsidP="00A021F5">
            <w:pPr>
              <w:rPr>
                <w:sz w:val="20"/>
                <w:szCs w:val="20"/>
                <w:lang w:eastAsia="en-US"/>
              </w:rPr>
            </w:pPr>
          </w:p>
        </w:tc>
      </w:tr>
      <w:tr w:rsidR="00A021F5" w:rsidRPr="00A021F5" w:rsidTr="00C722C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9"/>
          <w:gridAfter w:val="1"/>
          <w:wBefore w:w="8330" w:type="dxa"/>
          <w:wAfter w:w="1095" w:type="dxa"/>
          <w:trHeight w:val="100"/>
        </w:trPr>
        <w:tc>
          <w:tcPr>
            <w:tcW w:w="992" w:type="dxa"/>
            <w:tcBorders>
              <w:top w:val="single" w:sz="4" w:space="0" w:color="auto"/>
            </w:tcBorders>
          </w:tcPr>
          <w:p w:rsidR="00A021F5" w:rsidRPr="00A021F5" w:rsidRDefault="00A021F5" w:rsidP="00A021F5">
            <w:pPr>
              <w:rPr>
                <w:b/>
                <w:sz w:val="20"/>
                <w:szCs w:val="20"/>
                <w:lang w:eastAsia="en-US"/>
              </w:rPr>
            </w:pP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 Il faut noter les bons résultats en CAP, conséquence directe du soutien mis en place et de l’accompagnement personnalisé.</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 faible score en BEP résulte du manque de motivation des élèves de BAC PRO  pour cet examen intermédiaire</w:t>
      </w:r>
      <w:r w:rsidRPr="00A021F5">
        <w:rPr>
          <w:rFonts w:asciiTheme="minorHAnsi" w:eastAsiaTheme="minorHAnsi" w:hAnsiTheme="minorHAnsi" w:cstheme="minorBidi"/>
          <w:b/>
          <w:sz w:val="22"/>
          <w:szCs w:val="22"/>
          <w:lang w:eastAsia="en-US"/>
        </w:rPr>
        <w:t xml:space="preserve">. </w:t>
      </w:r>
      <w:r w:rsidRPr="00A021F5">
        <w:rPr>
          <w:rFonts w:asciiTheme="minorHAnsi" w:eastAsiaTheme="minorHAnsi" w:hAnsiTheme="minorHAnsi" w:cstheme="minorBidi"/>
          <w:sz w:val="22"/>
          <w:szCs w:val="22"/>
          <w:lang w:eastAsia="en-US"/>
        </w:rPr>
        <w:t>L’hétérogénéité du recrutement influant largement sur ces résultats.</w:t>
      </w:r>
    </w:p>
    <w:p w:rsidR="00A021F5" w:rsidRPr="00A021F5" w:rsidRDefault="00A021F5" w:rsidP="00A021F5">
      <w:pPr>
        <w:spacing w:after="200" w:line="276" w:lineRule="auto"/>
        <w:rPr>
          <w:rFonts w:asciiTheme="minorHAnsi" w:eastAsiaTheme="minorHAnsi" w:hAnsiTheme="minorHAnsi" w:cstheme="minorBidi"/>
          <w:b/>
          <w:sz w:val="22"/>
          <w:szCs w:val="22"/>
          <w:lang w:eastAsia="en-US"/>
        </w:rPr>
      </w:pPr>
    </w:p>
    <w:p w:rsidR="00A021F5" w:rsidRPr="00A021F5" w:rsidRDefault="00A021F5" w:rsidP="00A021F5">
      <w:pPr>
        <w:spacing w:after="200" w:line="276" w:lineRule="auto"/>
        <w:rPr>
          <w:rFonts w:asciiTheme="minorHAnsi" w:eastAsiaTheme="minorHAnsi" w:hAnsiTheme="minorHAnsi" w:cstheme="minorBidi"/>
          <w:b/>
          <w:sz w:val="22"/>
          <w:szCs w:val="22"/>
          <w:u w:val="single"/>
          <w:lang w:eastAsia="en-US"/>
        </w:rPr>
      </w:pPr>
      <w:r w:rsidRPr="00A021F5">
        <w:rPr>
          <w:rFonts w:asciiTheme="minorHAnsi" w:eastAsiaTheme="minorHAnsi" w:hAnsiTheme="minorHAnsi" w:cstheme="minorBidi"/>
          <w:b/>
          <w:sz w:val="22"/>
          <w:szCs w:val="22"/>
          <w:u w:val="single"/>
          <w:lang w:eastAsia="en-US"/>
        </w:rPr>
        <w:t>Résultats BTS Communication</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Pour  la 2</w:t>
      </w:r>
      <w:r w:rsidRPr="00A021F5">
        <w:rPr>
          <w:rFonts w:asciiTheme="minorHAnsi" w:eastAsiaTheme="minorHAnsi" w:hAnsiTheme="minorHAnsi" w:cstheme="minorBidi"/>
          <w:sz w:val="22"/>
          <w:szCs w:val="22"/>
          <w:vertAlign w:val="superscript"/>
          <w:lang w:eastAsia="en-US"/>
        </w:rPr>
        <w:t>ème</w:t>
      </w:r>
      <w:r w:rsidRPr="00A021F5">
        <w:rPr>
          <w:rFonts w:asciiTheme="minorHAnsi" w:eastAsiaTheme="minorHAnsi" w:hAnsiTheme="minorHAnsi" w:cstheme="minorBidi"/>
          <w:sz w:val="22"/>
          <w:szCs w:val="22"/>
          <w:lang w:eastAsia="en-US"/>
        </w:rPr>
        <w:t xml:space="preserve"> session de BTS, on note une progression des résultats et un appel fort pour l’orientation post bac des élèves du Lycée.</w:t>
      </w:r>
    </w:p>
    <w:tbl>
      <w:tblPr>
        <w:tblStyle w:val="Grilledutableau"/>
        <w:tblW w:w="0" w:type="auto"/>
        <w:tblLook w:val="04A0" w:firstRow="1" w:lastRow="0" w:firstColumn="1" w:lastColumn="0" w:noHBand="0" w:noVBand="1"/>
      </w:tblPr>
      <w:tblGrid>
        <w:gridCol w:w="1526"/>
        <w:gridCol w:w="1701"/>
      </w:tblGrid>
      <w:tr w:rsidR="00A021F5" w:rsidRPr="00A021F5" w:rsidTr="00C722CB">
        <w:trPr>
          <w:trHeight w:val="426"/>
        </w:trPr>
        <w:tc>
          <w:tcPr>
            <w:tcW w:w="1526" w:type="dxa"/>
          </w:tcPr>
          <w:p w:rsidR="00A021F5" w:rsidRPr="00A021F5" w:rsidRDefault="00A021F5" w:rsidP="00A021F5">
            <w:pPr>
              <w:jc w:val="center"/>
              <w:rPr>
                <w:b/>
                <w:sz w:val="20"/>
                <w:szCs w:val="20"/>
                <w:lang w:eastAsia="en-US"/>
              </w:rPr>
            </w:pPr>
            <w:r w:rsidRPr="00A021F5">
              <w:rPr>
                <w:b/>
                <w:sz w:val="20"/>
                <w:szCs w:val="20"/>
                <w:lang w:eastAsia="en-US"/>
              </w:rPr>
              <w:t>2014</w:t>
            </w:r>
          </w:p>
        </w:tc>
        <w:tc>
          <w:tcPr>
            <w:tcW w:w="1701" w:type="dxa"/>
          </w:tcPr>
          <w:p w:rsidR="00A021F5" w:rsidRPr="00A021F5" w:rsidRDefault="00A021F5" w:rsidP="00A021F5">
            <w:pPr>
              <w:jc w:val="center"/>
              <w:rPr>
                <w:b/>
                <w:sz w:val="20"/>
                <w:szCs w:val="20"/>
                <w:lang w:eastAsia="en-US"/>
              </w:rPr>
            </w:pPr>
            <w:r w:rsidRPr="00A021F5">
              <w:rPr>
                <w:b/>
                <w:sz w:val="20"/>
                <w:szCs w:val="20"/>
                <w:lang w:eastAsia="en-US"/>
              </w:rPr>
              <w:t>2015</w:t>
            </w:r>
          </w:p>
        </w:tc>
      </w:tr>
      <w:tr w:rsidR="00A021F5" w:rsidRPr="00A021F5" w:rsidTr="00C722CB">
        <w:trPr>
          <w:trHeight w:val="417"/>
        </w:trPr>
        <w:tc>
          <w:tcPr>
            <w:tcW w:w="1526" w:type="dxa"/>
          </w:tcPr>
          <w:p w:rsidR="00A021F5" w:rsidRPr="00A021F5" w:rsidRDefault="00A021F5" w:rsidP="00A021F5">
            <w:pPr>
              <w:jc w:val="center"/>
              <w:rPr>
                <w:b/>
                <w:sz w:val="20"/>
                <w:szCs w:val="20"/>
                <w:lang w:eastAsia="en-US"/>
              </w:rPr>
            </w:pPr>
            <w:r w:rsidRPr="00A021F5">
              <w:rPr>
                <w:b/>
                <w:sz w:val="20"/>
                <w:szCs w:val="20"/>
                <w:lang w:eastAsia="en-US"/>
              </w:rPr>
              <w:t>7/13 soit 53%</w:t>
            </w:r>
          </w:p>
        </w:tc>
        <w:tc>
          <w:tcPr>
            <w:tcW w:w="1701" w:type="dxa"/>
          </w:tcPr>
          <w:p w:rsidR="00A021F5" w:rsidRPr="00A021F5" w:rsidRDefault="00A021F5" w:rsidP="00A021F5">
            <w:pPr>
              <w:jc w:val="center"/>
              <w:rPr>
                <w:b/>
                <w:sz w:val="20"/>
                <w:szCs w:val="20"/>
                <w:lang w:eastAsia="en-US"/>
              </w:rPr>
            </w:pPr>
            <w:r w:rsidRPr="00A021F5">
              <w:rPr>
                <w:b/>
                <w:sz w:val="20"/>
                <w:szCs w:val="20"/>
                <w:lang w:eastAsia="en-US"/>
              </w:rPr>
              <w:t>8/9 soit 88.88%</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jc w:val="both"/>
        <w:rPr>
          <w:rFonts w:asciiTheme="minorHAnsi" w:eastAsiaTheme="minorHAnsi" w:hAnsiTheme="minorHAnsi" w:cstheme="minorBidi"/>
          <w:b/>
          <w:u w:val="single"/>
          <w:lang w:eastAsia="en-US"/>
        </w:rPr>
      </w:pPr>
      <w:r w:rsidRPr="00A021F5">
        <w:rPr>
          <w:rFonts w:asciiTheme="minorHAnsi" w:eastAsiaTheme="minorHAnsi" w:hAnsiTheme="minorHAnsi" w:cstheme="minorBidi"/>
          <w:b/>
          <w:u w:val="single"/>
          <w:lang w:eastAsia="en-US"/>
        </w:rPr>
        <w:t>Analyse</w:t>
      </w:r>
    </w:p>
    <w:p w:rsidR="00A021F5" w:rsidRPr="00A021F5" w:rsidRDefault="00A021F5" w:rsidP="00A021F5">
      <w:p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Quelques élèves abandonnent en cours d’année et ne se présentent pas aux examens, notamment à la SEP. Ce nombre est en forte diminution par rapport aux années précédentes, l’investissement des équipes et le suivi personnalisé le permettant.</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Chez les filles, les maternités précoces sont relativement nombreuses et perturbent la </w:t>
      </w:r>
      <w:proofErr w:type="gramStart"/>
      <w:r w:rsidRPr="00A021F5">
        <w:rPr>
          <w:rFonts w:asciiTheme="minorHAnsi" w:eastAsiaTheme="minorHAnsi" w:hAnsiTheme="minorHAnsi" w:cstheme="minorBidi"/>
          <w:sz w:val="22"/>
          <w:szCs w:val="22"/>
          <w:lang w:eastAsia="en-US"/>
        </w:rPr>
        <w:t>scolarité .</w:t>
      </w:r>
      <w:proofErr w:type="gramEnd"/>
      <w:r w:rsidRPr="00A021F5">
        <w:rPr>
          <w:rFonts w:asciiTheme="minorHAnsi" w:eastAsiaTheme="minorHAnsi" w:hAnsiTheme="minorHAnsi" w:cstheme="minorBidi"/>
          <w:sz w:val="22"/>
          <w:szCs w:val="22"/>
          <w:lang w:eastAsia="en-US"/>
        </w:rPr>
        <w:t xml:space="preserve"> Celles qui reprennent leurs études après la naissance du bébé sont souvent absentéistes. Le risque d’abandon avant la fin du cycle scolaire est </w:t>
      </w:r>
      <w:proofErr w:type="gramStart"/>
      <w:r w:rsidRPr="00A021F5">
        <w:rPr>
          <w:rFonts w:asciiTheme="minorHAnsi" w:eastAsiaTheme="minorHAnsi" w:hAnsiTheme="minorHAnsi" w:cstheme="minorBidi"/>
          <w:sz w:val="22"/>
          <w:szCs w:val="22"/>
          <w:lang w:eastAsia="en-US"/>
        </w:rPr>
        <w:t>élevé</w:t>
      </w:r>
      <w:proofErr w:type="gramEnd"/>
      <w:r w:rsidRPr="00A021F5">
        <w:rPr>
          <w:rFonts w:asciiTheme="minorHAnsi" w:eastAsiaTheme="minorHAnsi" w:hAnsiTheme="minorHAnsi" w:cstheme="minorBidi"/>
          <w:sz w:val="22"/>
          <w:szCs w:val="22"/>
          <w:lang w:eastAsia="en-US"/>
        </w:rPr>
        <w:t>.</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D’autres élèves quittent le lycée parce qu’ils sont démotivés ou pensent s’être trompés d’orientation. </w:t>
      </w:r>
      <w:r w:rsidRPr="00A021F5">
        <w:rPr>
          <w:rFonts w:asciiTheme="minorHAnsi" w:eastAsiaTheme="minorHAnsi" w:hAnsiTheme="minorHAnsi" w:cstheme="minorBidi"/>
          <w:b/>
          <w:sz w:val="22"/>
          <w:szCs w:val="22"/>
          <w:lang w:eastAsia="en-US"/>
        </w:rPr>
        <w:t>L’effort d’information sur l’orientation doit être poursuivi à tous les niveaux pour diminuer l’impact de ce facteu</w:t>
      </w:r>
      <w:r w:rsidRPr="00A021F5">
        <w:rPr>
          <w:rFonts w:asciiTheme="minorHAnsi" w:eastAsiaTheme="minorHAnsi" w:hAnsiTheme="minorHAnsi" w:cstheme="minorBidi"/>
          <w:sz w:val="22"/>
          <w:szCs w:val="22"/>
          <w:lang w:eastAsia="en-US"/>
        </w:rPr>
        <w:t>r. Un constat s’impose : après la troisième, les élèves choisissent des voies professionnelles qui les intéressent peu par manque de place dans les sections souhaitées. </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Certains se retrouvent en 2</w:t>
      </w:r>
      <w:r w:rsidRPr="00A021F5">
        <w:rPr>
          <w:rFonts w:asciiTheme="minorHAnsi" w:eastAsiaTheme="minorHAnsi" w:hAnsiTheme="minorHAnsi" w:cstheme="minorBidi"/>
          <w:sz w:val="22"/>
          <w:szCs w:val="22"/>
          <w:vertAlign w:val="superscript"/>
          <w:lang w:eastAsia="en-US"/>
        </w:rPr>
        <w:t>nde</w:t>
      </w:r>
      <w:r w:rsidRPr="00A021F5">
        <w:rPr>
          <w:rFonts w:asciiTheme="minorHAnsi" w:eastAsiaTheme="minorHAnsi" w:hAnsiTheme="minorHAnsi" w:cstheme="minorBidi"/>
          <w:sz w:val="22"/>
          <w:szCs w:val="22"/>
          <w:lang w:eastAsia="en-US"/>
        </w:rPr>
        <w:t xml:space="preserve"> générale sans en avoir le niveau, par manque de place en section professionnelle et se découragent rapidement.</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L’accroissement et la diversification de l’offre de formation sur le bassin seraient des réponses nécessaires et essentielles pour éviter ceci.</w:t>
      </w:r>
      <w:r w:rsidRPr="00A021F5">
        <w:rPr>
          <w:rFonts w:asciiTheme="minorHAnsi" w:eastAsiaTheme="minorHAnsi" w:hAnsiTheme="minorHAnsi" w:cstheme="minorBidi"/>
          <w:b/>
          <w:sz w:val="22"/>
          <w:szCs w:val="22"/>
          <w:lang w:eastAsia="en-US"/>
        </w:rPr>
        <w:t xml:space="preserve">          </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Les élèves orientés en Bac pro proviennent essentiellement de 3</w:t>
      </w:r>
      <w:r w:rsidRPr="00A021F5">
        <w:rPr>
          <w:rFonts w:asciiTheme="minorHAnsi" w:eastAsiaTheme="minorHAnsi" w:hAnsiTheme="minorHAnsi" w:cstheme="minorBidi"/>
          <w:sz w:val="22"/>
          <w:szCs w:val="22"/>
          <w:vertAlign w:val="superscript"/>
          <w:lang w:eastAsia="en-US"/>
        </w:rPr>
        <w:t>ème</w:t>
      </w:r>
      <w:r w:rsidRPr="00A021F5">
        <w:rPr>
          <w:rFonts w:asciiTheme="minorHAnsi" w:eastAsiaTheme="minorHAnsi" w:hAnsiTheme="minorHAnsi" w:cstheme="minorBidi"/>
          <w:sz w:val="22"/>
          <w:szCs w:val="22"/>
          <w:lang w:eastAsia="en-US"/>
        </w:rPr>
        <w:t xml:space="preserve"> générale et de quelques réorientations de seconde de détermination.</w:t>
      </w:r>
      <w:r w:rsidRPr="00A021F5">
        <w:rPr>
          <w:rFonts w:asciiTheme="minorHAnsi" w:eastAsiaTheme="minorHAnsi" w:hAnsiTheme="minorHAnsi" w:cstheme="minorBidi"/>
          <w:b/>
          <w:sz w:val="22"/>
          <w:szCs w:val="22"/>
          <w:lang w:eastAsia="en-US"/>
        </w:rPr>
        <w:t xml:space="preserve"> </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lastRenderedPageBreak/>
        <w:t>En cours d’année l’absentéisme est plus important dans les sections professionnelles que dans les sections générales et technologiques. Outre les causes expliquant les abandons d’études  en cours d’année, s’y ajoutent les répercussions de la vie familiale. Beaucoup de jeunes doivent s’occuper de leur fratrie ou contribuer à la subsistance de la famille. Ils font en sorte de cumuler  des emplois circonstanciels (chasse, pêche, services divers) et  la poursuite de leur scolarité.</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p>
    <w:p w:rsidR="00A021F5" w:rsidRPr="00A021F5" w:rsidRDefault="00A021F5" w:rsidP="00A021F5">
      <w:pPr>
        <w:spacing w:after="200" w:line="276" w:lineRule="auto"/>
        <w:jc w:val="both"/>
        <w:rPr>
          <w:rFonts w:asciiTheme="minorHAnsi" w:eastAsiaTheme="minorHAnsi" w:hAnsiTheme="minorHAnsi" w:cstheme="minorBidi"/>
          <w:b/>
          <w:sz w:val="28"/>
          <w:szCs w:val="28"/>
          <w:lang w:eastAsia="en-US"/>
        </w:rPr>
      </w:pPr>
      <w:proofErr w:type="gramStart"/>
      <w:r w:rsidRPr="00A021F5">
        <w:rPr>
          <w:rFonts w:asciiTheme="minorHAnsi" w:eastAsiaTheme="minorHAnsi" w:hAnsiTheme="minorHAnsi" w:cstheme="minorBidi"/>
          <w:b/>
          <w:sz w:val="28"/>
          <w:szCs w:val="28"/>
          <w:lang w:eastAsia="en-US"/>
        </w:rPr>
        <w:t>4.</w:t>
      </w:r>
      <w:r w:rsidRPr="00A021F5">
        <w:rPr>
          <w:rFonts w:asciiTheme="minorHAnsi" w:eastAsiaTheme="minorHAnsi" w:hAnsiTheme="minorHAnsi" w:cstheme="minorBidi"/>
          <w:b/>
          <w:sz w:val="28"/>
          <w:szCs w:val="28"/>
          <w:u w:val="single"/>
          <w:lang w:eastAsia="en-US"/>
        </w:rPr>
        <w:t>Orientation</w:t>
      </w:r>
      <w:proofErr w:type="gramEnd"/>
    </w:p>
    <w:tbl>
      <w:tblPr>
        <w:tblpPr w:leftFromText="141" w:rightFromText="141" w:vertAnchor="text" w:horzAnchor="margin" w:tblpY="166"/>
        <w:tblW w:w="7441" w:type="dxa"/>
        <w:tblCellMar>
          <w:left w:w="70" w:type="dxa"/>
          <w:right w:w="70" w:type="dxa"/>
        </w:tblCellMar>
        <w:tblLook w:val="04A0" w:firstRow="1" w:lastRow="0" w:firstColumn="1" w:lastColumn="0" w:noHBand="0" w:noVBand="1"/>
      </w:tblPr>
      <w:tblGrid>
        <w:gridCol w:w="1346"/>
        <w:gridCol w:w="1418"/>
        <w:gridCol w:w="850"/>
        <w:gridCol w:w="567"/>
        <w:gridCol w:w="709"/>
        <w:gridCol w:w="567"/>
        <w:gridCol w:w="709"/>
        <w:gridCol w:w="1275"/>
      </w:tblGrid>
      <w:tr w:rsidR="00A021F5" w:rsidRPr="00A021F5" w:rsidTr="00C722CB">
        <w:trPr>
          <w:trHeight w:val="420"/>
        </w:trPr>
        <w:tc>
          <w:tcPr>
            <w:tcW w:w="7441" w:type="dxa"/>
            <w:gridSpan w:val="8"/>
            <w:tcBorders>
              <w:top w:val="nil"/>
              <w:left w:val="nil"/>
              <w:bottom w:val="nil"/>
              <w:right w:val="nil"/>
            </w:tcBorders>
            <w:shd w:val="clear" w:color="auto" w:fill="auto"/>
            <w:noWrap/>
            <w:vAlign w:val="bottom"/>
            <w:hideMark/>
          </w:tcPr>
          <w:p w:rsidR="00A021F5" w:rsidRPr="00A021F5" w:rsidRDefault="00A021F5" w:rsidP="00A021F5">
            <w:pPr>
              <w:jc w:val="center"/>
              <w:rPr>
                <w:rFonts w:ascii="Calibri" w:hAnsi="Calibri" w:cs="Calibri"/>
                <w:color w:val="000000"/>
              </w:rPr>
            </w:pPr>
            <w:r w:rsidRPr="00A021F5">
              <w:rPr>
                <w:rFonts w:ascii="Calibri" w:hAnsi="Calibri" w:cs="Calibri"/>
                <w:color w:val="000000"/>
              </w:rPr>
              <w:t>Bilan Orientation 2013/2014</w:t>
            </w:r>
          </w:p>
        </w:tc>
      </w:tr>
      <w:tr w:rsidR="00A021F5" w:rsidRPr="00A021F5" w:rsidTr="00C722CB">
        <w:trPr>
          <w:trHeight w:val="300"/>
        </w:trPr>
        <w:tc>
          <w:tcPr>
            <w:tcW w:w="13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567"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567"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709"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r>
      <w:tr w:rsidR="00A021F5" w:rsidRPr="00A021F5" w:rsidTr="00C722CB">
        <w:trPr>
          <w:trHeight w:val="600"/>
        </w:trPr>
        <w:tc>
          <w:tcPr>
            <w:tcW w:w="13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Université</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Prépa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BTS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BTSA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IUT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RDT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AUCUN VŒU</w:t>
            </w:r>
          </w:p>
        </w:tc>
      </w:tr>
      <w:tr w:rsidR="00A021F5" w:rsidRPr="00A021F5" w:rsidTr="00C722CB">
        <w:trPr>
          <w:trHeight w:val="361"/>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TES</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r>
      <w:tr w:rsidR="00A021F5" w:rsidRPr="00A021F5" w:rsidTr="00C722CB">
        <w:trPr>
          <w:trHeight w:val="409"/>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TL</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w:t>
            </w:r>
          </w:p>
        </w:tc>
      </w:tr>
      <w:tr w:rsidR="00A021F5" w:rsidRPr="00A021F5" w:rsidTr="00C722CB">
        <w:trPr>
          <w:trHeight w:val="415"/>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TS</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4</w:t>
            </w:r>
          </w:p>
        </w:tc>
      </w:tr>
      <w:tr w:rsidR="00A021F5" w:rsidRPr="00A021F5" w:rsidTr="00C722CB">
        <w:trPr>
          <w:trHeight w:val="421"/>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TGF</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9</w:t>
            </w:r>
          </w:p>
        </w:tc>
      </w:tr>
      <w:tr w:rsidR="00A021F5" w:rsidRPr="00A021F5" w:rsidTr="00C722CB">
        <w:trPr>
          <w:trHeight w:val="414"/>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TRHC</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7</w:t>
            </w:r>
          </w:p>
        </w:tc>
      </w:tr>
      <w:tr w:rsidR="00A021F5" w:rsidRPr="00A021F5" w:rsidTr="00C722CB">
        <w:trPr>
          <w:trHeight w:val="419"/>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BAC PRO</w:t>
            </w:r>
          </w:p>
        </w:tc>
        <w:tc>
          <w:tcPr>
            <w:tcW w:w="141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1275"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23</w:t>
            </w:r>
          </w:p>
        </w:tc>
      </w:tr>
      <w:tr w:rsidR="00A021F5" w:rsidRPr="00A021F5" w:rsidTr="00C722CB">
        <w:trPr>
          <w:trHeight w:val="300"/>
        </w:trPr>
        <w:tc>
          <w:tcPr>
            <w:tcW w:w="13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1418"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850"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567"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709"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567"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709"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1275"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r>
      <w:tr w:rsidR="00A021F5" w:rsidRPr="00A021F5" w:rsidTr="00C722CB">
        <w:trPr>
          <w:trHeight w:val="300"/>
        </w:trPr>
        <w:tc>
          <w:tcPr>
            <w:tcW w:w="1346" w:type="dxa"/>
            <w:tcBorders>
              <w:top w:val="nil"/>
              <w:left w:val="nil"/>
              <w:bottom w:val="nil"/>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2"/>
                <w:szCs w:val="22"/>
              </w:rPr>
            </w:pPr>
            <w:r w:rsidRPr="00A021F5">
              <w:rPr>
                <w:rFonts w:ascii="Calibri" w:hAnsi="Calibri" w:cs="Calibri"/>
                <w:color w:val="000000"/>
                <w:sz w:val="22"/>
                <w:szCs w:val="22"/>
              </w:rPr>
              <w:t>46</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p>
    <w:tbl>
      <w:tblPr>
        <w:tblW w:w="7386" w:type="dxa"/>
        <w:tblInd w:w="55" w:type="dxa"/>
        <w:tblCellMar>
          <w:left w:w="70" w:type="dxa"/>
          <w:right w:w="70" w:type="dxa"/>
        </w:tblCellMar>
        <w:tblLook w:val="04A0" w:firstRow="1" w:lastRow="0" w:firstColumn="1" w:lastColumn="0" w:noHBand="0" w:noVBand="1"/>
      </w:tblPr>
      <w:tblGrid>
        <w:gridCol w:w="1246"/>
        <w:gridCol w:w="1427"/>
        <w:gridCol w:w="836"/>
        <w:gridCol w:w="546"/>
        <w:gridCol w:w="737"/>
        <w:gridCol w:w="509"/>
        <w:gridCol w:w="597"/>
        <w:gridCol w:w="1488"/>
      </w:tblGrid>
      <w:tr w:rsidR="00A021F5" w:rsidRPr="00A021F5" w:rsidTr="00C722CB">
        <w:trPr>
          <w:trHeight w:val="300"/>
        </w:trPr>
        <w:tc>
          <w:tcPr>
            <w:tcW w:w="7386" w:type="dxa"/>
            <w:gridSpan w:val="8"/>
            <w:tcBorders>
              <w:top w:val="nil"/>
              <w:left w:val="nil"/>
              <w:bottom w:val="nil"/>
              <w:right w:val="nil"/>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p>
          <w:p w:rsidR="00A021F5" w:rsidRPr="00A021F5" w:rsidRDefault="00A021F5" w:rsidP="00A021F5">
            <w:pPr>
              <w:jc w:val="center"/>
              <w:rPr>
                <w:rFonts w:ascii="Calibri" w:hAnsi="Calibri" w:cs="Calibri"/>
                <w:color w:val="000000"/>
              </w:rPr>
            </w:pPr>
            <w:r w:rsidRPr="00A021F5">
              <w:rPr>
                <w:rFonts w:ascii="Calibri" w:hAnsi="Calibri" w:cs="Calibri"/>
                <w:color w:val="000000"/>
              </w:rPr>
              <w:t>Bilan Orientation 2014/2015</w:t>
            </w:r>
          </w:p>
        </w:tc>
      </w:tr>
      <w:tr w:rsidR="00A021F5" w:rsidRPr="00A021F5" w:rsidTr="00C722CB">
        <w:trPr>
          <w:trHeight w:val="300"/>
        </w:trPr>
        <w:tc>
          <w:tcPr>
            <w:tcW w:w="12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27"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83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737"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09"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97"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88"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r>
      <w:tr w:rsidR="00A021F5" w:rsidRPr="00A021F5" w:rsidTr="00C722CB">
        <w:trPr>
          <w:trHeight w:val="600"/>
        </w:trPr>
        <w:tc>
          <w:tcPr>
            <w:tcW w:w="12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Université</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Prépa</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BTS</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BTSA</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IUT</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RDT</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r w:rsidRPr="00A021F5">
              <w:rPr>
                <w:rFonts w:ascii="Calibri" w:hAnsi="Calibri" w:cs="Calibri"/>
                <w:color w:val="000000"/>
                <w:sz w:val="20"/>
                <w:szCs w:val="20"/>
              </w:rPr>
              <w:t>AUCUN VŒU</w:t>
            </w:r>
          </w:p>
        </w:tc>
      </w:tr>
      <w:tr w:rsidR="00A021F5" w:rsidRPr="00A021F5" w:rsidTr="00C722CB">
        <w:trPr>
          <w:trHeight w:val="402"/>
        </w:trPr>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TES</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19</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r>
      <w:tr w:rsidR="00A021F5" w:rsidRPr="00A021F5" w:rsidTr="00C722CB">
        <w:trPr>
          <w:trHeight w:val="402"/>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TL</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13</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r>
      <w:tr w:rsidR="00A021F5" w:rsidRPr="00A021F5" w:rsidTr="00C722CB">
        <w:trPr>
          <w:trHeight w:val="402"/>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TS</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9</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r>
      <w:tr w:rsidR="00A021F5" w:rsidRPr="00A021F5" w:rsidTr="00C722CB">
        <w:trPr>
          <w:trHeight w:val="402"/>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TGF</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8</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4</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w:t>
            </w:r>
          </w:p>
        </w:tc>
      </w:tr>
      <w:tr w:rsidR="00A021F5" w:rsidRPr="00A021F5" w:rsidTr="00C722CB">
        <w:trPr>
          <w:trHeight w:val="402"/>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TRHC</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13</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4</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6</w:t>
            </w:r>
          </w:p>
        </w:tc>
      </w:tr>
      <w:tr w:rsidR="00A021F5" w:rsidRPr="00A021F5" w:rsidTr="00C722CB">
        <w:trPr>
          <w:trHeight w:val="402"/>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BAC PRO</w:t>
            </w:r>
          </w:p>
        </w:tc>
        <w:tc>
          <w:tcPr>
            <w:tcW w:w="142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23</w:t>
            </w:r>
          </w:p>
        </w:tc>
        <w:tc>
          <w:tcPr>
            <w:tcW w:w="83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13</w:t>
            </w:r>
          </w:p>
        </w:tc>
        <w:tc>
          <w:tcPr>
            <w:tcW w:w="73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09"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 </w:t>
            </w:r>
          </w:p>
        </w:tc>
        <w:tc>
          <w:tcPr>
            <w:tcW w:w="597"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9</w:t>
            </w:r>
          </w:p>
        </w:tc>
        <w:tc>
          <w:tcPr>
            <w:tcW w:w="1488" w:type="dxa"/>
            <w:tcBorders>
              <w:top w:val="nil"/>
              <w:left w:val="nil"/>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20</w:t>
            </w:r>
          </w:p>
        </w:tc>
      </w:tr>
      <w:tr w:rsidR="00A021F5" w:rsidRPr="00A021F5" w:rsidTr="00C722CB">
        <w:trPr>
          <w:trHeight w:val="300"/>
        </w:trPr>
        <w:tc>
          <w:tcPr>
            <w:tcW w:w="1246" w:type="dxa"/>
            <w:tcBorders>
              <w:top w:val="nil"/>
              <w:left w:val="nil"/>
              <w:bottom w:val="nil"/>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27"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836"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46"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737"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09"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597"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88" w:type="dxa"/>
            <w:tcBorders>
              <w:top w:val="nil"/>
              <w:left w:val="nil"/>
              <w:bottom w:val="single" w:sz="4" w:space="0" w:color="auto"/>
              <w:right w:val="nil"/>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r>
      <w:tr w:rsidR="00A021F5" w:rsidRPr="00A021F5" w:rsidTr="00C722CB">
        <w:trPr>
          <w:trHeight w:val="268"/>
        </w:trPr>
        <w:tc>
          <w:tcPr>
            <w:tcW w:w="1246" w:type="dxa"/>
            <w:tcBorders>
              <w:top w:val="nil"/>
              <w:left w:val="nil"/>
              <w:bottom w:val="nil"/>
              <w:right w:val="single" w:sz="4" w:space="0" w:color="auto"/>
            </w:tcBorders>
            <w:shd w:val="clear" w:color="auto" w:fill="auto"/>
            <w:noWrap/>
            <w:vAlign w:val="bottom"/>
            <w:hideMark/>
          </w:tcPr>
          <w:p w:rsidR="00A021F5" w:rsidRPr="00A021F5" w:rsidRDefault="00A021F5" w:rsidP="00A021F5">
            <w:pPr>
              <w:rPr>
                <w:rFonts w:ascii="Calibri" w:hAnsi="Calibri" w:cs="Calibri"/>
                <w:color w:val="000000"/>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85</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25</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0</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1F5" w:rsidRPr="00A021F5" w:rsidRDefault="00A021F5" w:rsidP="00A021F5">
            <w:pPr>
              <w:jc w:val="center"/>
              <w:rPr>
                <w:rFonts w:ascii="Calibri" w:hAnsi="Calibri" w:cs="Calibri"/>
                <w:color w:val="000000"/>
                <w:sz w:val="20"/>
                <w:szCs w:val="20"/>
              </w:rPr>
            </w:pPr>
            <w:r w:rsidRPr="00A021F5">
              <w:rPr>
                <w:rFonts w:ascii="Calibri" w:hAnsi="Calibri" w:cs="Calibri"/>
                <w:color w:val="000000"/>
                <w:sz w:val="20"/>
                <w:szCs w:val="20"/>
              </w:rPr>
              <w:t>31</w:t>
            </w:r>
          </w:p>
        </w:tc>
      </w:tr>
    </w:tbl>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Renforcement des demandes d’orientation en Université depuis l’ouverture de l’Université de Guyane.</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 pourcentage d’élèves sans vœux d’orientation reste cependant très important</w:t>
      </w:r>
    </w:p>
    <w:p w:rsidR="00A021F5" w:rsidRDefault="00A021F5" w:rsidP="00A021F5">
      <w:pPr>
        <w:spacing w:after="200" w:line="276" w:lineRule="auto"/>
        <w:rPr>
          <w:rFonts w:asciiTheme="minorHAnsi" w:eastAsiaTheme="minorHAnsi" w:hAnsiTheme="minorHAnsi" w:cstheme="minorBidi"/>
          <w:b/>
          <w:sz w:val="28"/>
          <w:szCs w:val="28"/>
          <w:u w:val="single"/>
          <w:lang w:eastAsia="en-US"/>
        </w:rPr>
      </w:pPr>
    </w:p>
    <w:p w:rsidR="00A021F5" w:rsidRPr="00A021F5" w:rsidRDefault="00A021F5" w:rsidP="00A021F5">
      <w:pPr>
        <w:spacing w:after="200" w:line="276" w:lineRule="auto"/>
        <w:rPr>
          <w:rFonts w:asciiTheme="minorHAnsi" w:eastAsiaTheme="minorHAnsi" w:hAnsiTheme="minorHAnsi" w:cstheme="minorBidi"/>
          <w:sz w:val="28"/>
          <w:szCs w:val="28"/>
          <w:u w:val="single"/>
          <w:lang w:eastAsia="en-US"/>
        </w:rPr>
      </w:pPr>
      <w:r w:rsidRPr="00A021F5">
        <w:rPr>
          <w:rFonts w:asciiTheme="minorHAnsi" w:eastAsiaTheme="minorHAnsi" w:hAnsiTheme="minorHAnsi" w:cstheme="minorBidi"/>
          <w:b/>
          <w:sz w:val="28"/>
          <w:szCs w:val="28"/>
          <w:u w:val="single"/>
          <w:lang w:eastAsia="en-US"/>
        </w:rPr>
        <w:lastRenderedPageBreak/>
        <w:t>5. Absentéisme</w:t>
      </w: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Pourcentages de ½ journées perdues</w:t>
      </w:r>
    </w:p>
    <w:tbl>
      <w:tblPr>
        <w:tblStyle w:val="Grilledutableau"/>
        <w:tblW w:w="9348" w:type="dxa"/>
        <w:tblLook w:val="01E0" w:firstRow="1" w:lastRow="1" w:firstColumn="1" w:lastColumn="1" w:noHBand="0" w:noVBand="0"/>
      </w:tblPr>
      <w:tblGrid>
        <w:gridCol w:w="1744"/>
        <w:gridCol w:w="774"/>
        <w:gridCol w:w="851"/>
        <w:gridCol w:w="850"/>
        <w:gridCol w:w="709"/>
        <w:gridCol w:w="850"/>
        <w:gridCol w:w="709"/>
        <w:gridCol w:w="709"/>
        <w:gridCol w:w="709"/>
        <w:gridCol w:w="708"/>
        <w:gridCol w:w="735"/>
      </w:tblGrid>
      <w:tr w:rsidR="00A021F5" w:rsidRPr="00A021F5" w:rsidTr="00C722CB">
        <w:tc>
          <w:tcPr>
            <w:tcW w:w="1744"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NIVEAU</w:t>
            </w:r>
          </w:p>
        </w:tc>
        <w:tc>
          <w:tcPr>
            <w:tcW w:w="774"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2004-2005</w:t>
            </w:r>
          </w:p>
        </w:tc>
        <w:tc>
          <w:tcPr>
            <w:tcW w:w="851"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2005-2006</w:t>
            </w:r>
          </w:p>
        </w:tc>
        <w:tc>
          <w:tcPr>
            <w:tcW w:w="850"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2007-2008</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2008-2009</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2009-2010</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2010-2011</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2011-2012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b/>
                <w:sz w:val="20"/>
                <w:szCs w:val="20"/>
                <w:lang w:eastAsia="en-US"/>
              </w:rPr>
            </w:pPr>
            <w:r w:rsidRPr="00A021F5">
              <w:rPr>
                <w:b/>
                <w:sz w:val="20"/>
                <w:szCs w:val="20"/>
                <w:lang w:eastAsia="en-US"/>
              </w:rPr>
              <w:t>2012-2013</w:t>
            </w:r>
          </w:p>
        </w:tc>
        <w:tc>
          <w:tcPr>
            <w:tcW w:w="708"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2013-2014</w:t>
            </w:r>
          </w:p>
        </w:tc>
        <w:tc>
          <w:tcPr>
            <w:tcW w:w="735" w:type="dxa"/>
            <w:tcBorders>
              <w:bottom w:val="single" w:sz="4" w:space="0" w:color="auto"/>
            </w:tcBorders>
            <w:shd w:val="clear" w:color="auto" w:fill="auto"/>
          </w:tcPr>
          <w:p w:rsidR="00A021F5" w:rsidRPr="00A021F5" w:rsidRDefault="00A021F5" w:rsidP="00A021F5">
            <w:pPr>
              <w:rPr>
                <w:b/>
                <w:sz w:val="20"/>
                <w:szCs w:val="20"/>
                <w:lang w:eastAsia="en-US"/>
              </w:rPr>
            </w:pPr>
            <w:r w:rsidRPr="00A021F5">
              <w:rPr>
                <w:b/>
                <w:sz w:val="20"/>
                <w:szCs w:val="20"/>
                <w:lang w:eastAsia="en-US"/>
              </w:rPr>
              <w:t>2014-2015</w:t>
            </w:r>
          </w:p>
        </w:tc>
      </w:tr>
      <w:tr w:rsidR="00A021F5" w:rsidRPr="00A021F5" w:rsidTr="00C722CB">
        <w:tc>
          <w:tcPr>
            <w:tcW w:w="1744"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LGT</w:t>
            </w:r>
          </w:p>
        </w:tc>
        <w:tc>
          <w:tcPr>
            <w:tcW w:w="774"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val="en-GB" w:eastAsia="en-US"/>
              </w:rPr>
            </w:pPr>
            <w:r w:rsidRPr="00A021F5">
              <w:rPr>
                <w:sz w:val="20"/>
                <w:szCs w:val="20"/>
                <w:lang w:val="en-GB" w:eastAsia="en-US"/>
              </w:rPr>
              <w:t>10,9</w:t>
            </w:r>
          </w:p>
        </w:tc>
        <w:tc>
          <w:tcPr>
            <w:tcW w:w="851"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val="en-GB" w:eastAsia="en-US"/>
              </w:rPr>
            </w:pPr>
            <w:r w:rsidRPr="00A021F5">
              <w:rPr>
                <w:sz w:val="20"/>
                <w:szCs w:val="20"/>
                <w:lang w:val="en-GB" w:eastAsia="en-US"/>
              </w:rPr>
              <w:t>11,6</w:t>
            </w:r>
          </w:p>
        </w:tc>
        <w:tc>
          <w:tcPr>
            <w:tcW w:w="850"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val="en-GB" w:eastAsia="en-US"/>
              </w:rPr>
            </w:pPr>
            <w:r w:rsidRPr="00A021F5">
              <w:rPr>
                <w:sz w:val="20"/>
                <w:szCs w:val="20"/>
                <w:lang w:val="en-GB" w:eastAsia="en-US"/>
              </w:rPr>
              <w:t>14,2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12,2</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12,3</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11</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10,5</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13</w:t>
            </w:r>
          </w:p>
        </w:tc>
        <w:tc>
          <w:tcPr>
            <w:tcW w:w="708"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11</w:t>
            </w:r>
          </w:p>
        </w:tc>
        <w:tc>
          <w:tcPr>
            <w:tcW w:w="735"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12.4</w:t>
            </w:r>
          </w:p>
        </w:tc>
      </w:tr>
      <w:tr w:rsidR="00A021F5" w:rsidRPr="00A021F5" w:rsidTr="00C722CB">
        <w:tc>
          <w:tcPr>
            <w:tcW w:w="1744"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val="en-GB" w:eastAsia="en-US"/>
              </w:rPr>
            </w:pPr>
            <w:r w:rsidRPr="00A021F5">
              <w:rPr>
                <w:b/>
                <w:sz w:val="20"/>
                <w:szCs w:val="20"/>
                <w:lang w:val="en-GB" w:eastAsia="en-US"/>
              </w:rPr>
              <w:t>SEP</w:t>
            </w:r>
          </w:p>
        </w:tc>
        <w:tc>
          <w:tcPr>
            <w:tcW w:w="774"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val="en-GB" w:eastAsia="en-US"/>
              </w:rPr>
            </w:pPr>
            <w:r w:rsidRPr="00A021F5">
              <w:rPr>
                <w:sz w:val="20"/>
                <w:szCs w:val="20"/>
                <w:lang w:val="en-GB" w:eastAsia="en-US"/>
              </w:rPr>
              <w:t>11,9</w:t>
            </w:r>
          </w:p>
        </w:tc>
        <w:tc>
          <w:tcPr>
            <w:tcW w:w="850"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val="en-GB" w:eastAsia="en-US"/>
              </w:rPr>
            </w:pPr>
            <w:r w:rsidRPr="00A021F5">
              <w:rPr>
                <w:sz w:val="20"/>
                <w:szCs w:val="20"/>
                <w:lang w:val="en-GB" w:eastAsia="en-US"/>
              </w:rPr>
              <w:t>18,3</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14</w:t>
            </w:r>
          </w:p>
        </w:tc>
        <w:tc>
          <w:tcPr>
            <w:tcW w:w="850"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13,6</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12</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12,5</w:t>
            </w:r>
          </w:p>
        </w:tc>
        <w:tc>
          <w:tcPr>
            <w:tcW w:w="709"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val="en-GB" w:eastAsia="en-US"/>
              </w:rPr>
            </w:pPr>
            <w:r w:rsidRPr="00A021F5">
              <w:rPr>
                <w:sz w:val="20"/>
                <w:szCs w:val="20"/>
                <w:lang w:val="en-GB" w:eastAsia="en-US"/>
              </w:rPr>
              <w:t>15</w:t>
            </w:r>
          </w:p>
        </w:tc>
        <w:tc>
          <w:tcPr>
            <w:tcW w:w="708"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13</w:t>
            </w:r>
          </w:p>
        </w:tc>
        <w:tc>
          <w:tcPr>
            <w:tcW w:w="735" w:type="dxa"/>
            <w:tcBorders>
              <w:bottom w:val="single" w:sz="4" w:space="0" w:color="auto"/>
            </w:tcBorders>
            <w:shd w:val="clear" w:color="auto" w:fill="auto"/>
          </w:tcPr>
          <w:p w:rsidR="00A021F5" w:rsidRPr="00A021F5" w:rsidRDefault="00A021F5" w:rsidP="00A021F5">
            <w:pPr>
              <w:rPr>
                <w:sz w:val="20"/>
                <w:szCs w:val="20"/>
                <w:lang w:eastAsia="en-US"/>
              </w:rPr>
            </w:pPr>
            <w:r w:rsidRPr="00A021F5">
              <w:rPr>
                <w:sz w:val="20"/>
                <w:szCs w:val="20"/>
                <w:lang w:eastAsia="en-US"/>
              </w:rPr>
              <w:t>15.3</w:t>
            </w:r>
          </w:p>
        </w:tc>
      </w:tr>
    </w:tbl>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48,6% des absences n’ont pas fait l’objet d’une régularisation</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14,06% des motifs invoqués ont été rejetés</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62% des absences justifiées le sont pour des motifs médicaux.</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b/>
          <w:kern w:val="3"/>
          <w:sz w:val="22"/>
          <w:szCs w:val="22"/>
          <w:u w:val="single"/>
          <w:lang w:eastAsia="en-US"/>
        </w:rPr>
        <w:t>Le suivi des absences</w:t>
      </w:r>
    </w:p>
    <w:p w:rsidR="00A021F5" w:rsidRPr="00A021F5" w:rsidRDefault="00A021F5" w:rsidP="00A021F5">
      <w:pPr>
        <w:suppressAutoHyphens/>
        <w:autoSpaceDN w:val="0"/>
        <w:spacing w:line="276" w:lineRule="auto"/>
        <w:textAlignment w:val="baseline"/>
        <w:rPr>
          <w:rFonts w:ascii="Calibri" w:eastAsia="SimSun" w:hAnsi="Calibri" w:cs="F"/>
          <w:b/>
          <w:kern w:val="3"/>
          <w:sz w:val="22"/>
          <w:szCs w:val="22"/>
          <w:u w:val="single"/>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950 courriers envoyés ou remis aux familles. Un point est régulièrement fait avec les professeurs principaux. Chaque classe a un surveillant référent.</w:t>
      </w:r>
      <w:r w:rsidRPr="00A021F5">
        <w:rPr>
          <w:rFonts w:ascii="Calibri" w:eastAsia="SimSun" w:hAnsi="Calibri" w:cs="F"/>
          <w:kern w:val="3"/>
          <w:sz w:val="22"/>
          <w:szCs w:val="22"/>
          <w:lang w:eastAsia="en-US"/>
        </w:rPr>
        <w:br/>
        <w:t>Les cas d’élèves qui suscitent une inquiétude et/ou un suivi particulier sont étudiés lors de réunions regroupant les CPE, l’infirmière et l’assistante sociale.</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Calibri" w:hAnsi="Calibri" w:cs="Calibri"/>
          <w:kern w:val="3"/>
          <w:sz w:val="22"/>
          <w:szCs w:val="22"/>
          <w:lang w:eastAsia="ar-SA"/>
        </w:rPr>
        <w:t xml:space="preserve">            </w:t>
      </w:r>
      <w:r w:rsidRPr="00A021F5">
        <w:rPr>
          <w:rFonts w:ascii="Calibri" w:eastAsia="Calibri" w:hAnsi="Calibri" w:cs="Calibri"/>
          <w:b/>
          <w:kern w:val="3"/>
          <w:sz w:val="22"/>
          <w:szCs w:val="22"/>
          <w:u w:val="single"/>
          <w:lang w:eastAsia="ar-SA"/>
        </w:rPr>
        <w:t>Difficultés de suivi des absences</w:t>
      </w:r>
      <w:r w:rsidRPr="00A021F5">
        <w:rPr>
          <w:rFonts w:ascii="Calibri" w:eastAsia="Calibri" w:hAnsi="Calibri" w:cs="Calibri"/>
          <w:kern w:val="3"/>
          <w:sz w:val="22"/>
          <w:szCs w:val="22"/>
          <w:lang w:eastAsia="ar-SA"/>
        </w:rPr>
        <w:t> :</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L’assiduité représente le problème majeur de l’établissement.</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Beaucoup de retards, souvent imputables en début de matinée aux transporteurs, mais aussi au manque de sérieux des élèves.</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absences   (30241 ½ journées pour un total de 64936h) sont très nombreuses et dues, outre le manque de motivation et de sérieux de beaucoup d’élèves, à certains facteurs particuliers:</w:t>
      </w:r>
    </w:p>
    <w:p w:rsidR="00A021F5" w:rsidRPr="00A021F5" w:rsidRDefault="00A021F5" w:rsidP="00A021F5">
      <w:pPr>
        <w:widowControl w:val="0"/>
        <w:numPr>
          <w:ilvl w:val="0"/>
          <w:numId w:val="2"/>
        </w:num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transports. Le manque d’un réseau de transport urbain- certains élèves viennent de très loin par leurs propres moyens, à pied ou en vélo pour la majorité. D’où un absentéisme important les jours de pluie.</w:t>
      </w:r>
    </w:p>
    <w:p w:rsidR="00A021F5" w:rsidRPr="00A021F5" w:rsidRDefault="00A021F5" w:rsidP="00A021F5">
      <w:pPr>
        <w:suppressAutoHyphens/>
        <w:autoSpaceDN w:val="0"/>
        <w:spacing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 xml:space="preserve">              Les difficultés pour obtenir une carte ou une place sur certaines lignes de bus.</w:t>
      </w:r>
    </w:p>
    <w:p w:rsidR="00A021F5" w:rsidRPr="00A021F5" w:rsidRDefault="00A021F5" w:rsidP="00A021F5">
      <w:pPr>
        <w:widowControl w:val="0"/>
        <w:numPr>
          <w:ilvl w:val="0"/>
          <w:numId w:val="2"/>
        </w:num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traditions locales : les périodes de deuil très longues – le carnaval –</w:t>
      </w:r>
    </w:p>
    <w:p w:rsidR="00A021F5" w:rsidRPr="00A021F5" w:rsidRDefault="00A021F5" w:rsidP="00A021F5">
      <w:pPr>
        <w:widowControl w:val="0"/>
        <w:numPr>
          <w:ilvl w:val="0"/>
          <w:numId w:val="2"/>
        </w:num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difficultés administratives. La moindre démarche occupe des demi-journées (poste, mairie, sous-préfecture, tribunal) bien plus lorsqu’il faut se déplacer à CAYENNE ou au SURINAME.  Beaucoup d’élèves s’occupent des démarchent des parents.</w:t>
      </w:r>
    </w:p>
    <w:p w:rsidR="00A021F5" w:rsidRPr="00A021F5" w:rsidRDefault="00A021F5" w:rsidP="00A021F5">
      <w:pPr>
        <w:widowControl w:val="0"/>
        <w:numPr>
          <w:ilvl w:val="0"/>
          <w:numId w:val="2"/>
        </w:num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La présence du SURINAME: les périodes de vacances sont différentes. Certains élèves s’y rendent pour des soins.</w:t>
      </w:r>
    </w:p>
    <w:p w:rsidR="00A021F5" w:rsidRPr="00A021F5" w:rsidRDefault="00A021F5" w:rsidP="00A021F5">
      <w:pPr>
        <w:widowControl w:val="0"/>
        <w:numPr>
          <w:ilvl w:val="0"/>
          <w:numId w:val="2"/>
        </w:num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grossesses : 6% de nos élèves sont concernées (pourcentage identique à l’an dernier</w:t>
      </w:r>
      <w:proofErr w:type="gramStart"/>
      <w:r w:rsidRPr="00A021F5">
        <w:rPr>
          <w:rFonts w:ascii="Calibri" w:eastAsia="SimSun" w:hAnsi="Calibri" w:cs="F"/>
          <w:kern w:val="3"/>
          <w:sz w:val="22"/>
          <w:szCs w:val="22"/>
          <w:lang w:eastAsia="en-US"/>
        </w:rPr>
        <w:t>) .</w:t>
      </w:r>
      <w:proofErr w:type="gramEnd"/>
      <w:r w:rsidRPr="00A021F5">
        <w:rPr>
          <w:rFonts w:ascii="Calibri" w:eastAsia="SimSun" w:hAnsi="Calibri" w:cs="F"/>
          <w:kern w:val="3"/>
          <w:sz w:val="22"/>
          <w:szCs w:val="22"/>
          <w:lang w:eastAsia="en-US"/>
        </w:rPr>
        <w:t xml:space="preserve"> Elles comptent pour 11%  des absences de l’établissement.</w:t>
      </w:r>
    </w:p>
    <w:p w:rsidR="00A021F5" w:rsidRPr="00A021F5" w:rsidRDefault="00A021F5" w:rsidP="00A021F5">
      <w:pPr>
        <w:suppressAutoHyphens/>
        <w:autoSpaceDN w:val="0"/>
        <w:spacing w:after="200" w:line="276" w:lineRule="auto"/>
        <w:textAlignment w:val="baseline"/>
        <w:rPr>
          <w:rFonts w:ascii="Calibri" w:eastAsia="SimSun" w:hAnsi="Calibri" w:cs="F"/>
          <w:kern w:val="3"/>
          <w:sz w:val="22"/>
          <w:szCs w:val="22"/>
          <w:lang w:eastAsia="en-US"/>
        </w:rPr>
      </w:pPr>
      <w:r w:rsidRPr="00A021F5">
        <w:rPr>
          <w:rFonts w:ascii="Calibri" w:eastAsia="SimSun" w:hAnsi="Calibri" w:cs="F"/>
          <w:kern w:val="3"/>
          <w:sz w:val="22"/>
          <w:szCs w:val="22"/>
          <w:lang w:eastAsia="en-US"/>
        </w:rPr>
        <w:t>Les grossesses et les difficultés rencontrées par les jeunes mères scolarisées font que les filles sont beaucoup plus absentes que les garçons.</w:t>
      </w:r>
    </w:p>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p>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r w:rsidRPr="00A021F5">
        <w:rPr>
          <w:rFonts w:asciiTheme="minorHAnsi" w:eastAsiaTheme="minorHAnsi" w:hAnsiTheme="minorHAnsi" w:cstheme="minorBidi"/>
          <w:b/>
          <w:sz w:val="28"/>
          <w:szCs w:val="28"/>
          <w:u w:val="single"/>
          <w:lang w:eastAsia="en-US"/>
        </w:rPr>
        <w:lastRenderedPageBreak/>
        <w:t>6. Les personnels</w:t>
      </w:r>
    </w:p>
    <w:tbl>
      <w:tblPr>
        <w:tblStyle w:val="Grilledutableau"/>
        <w:tblW w:w="0" w:type="auto"/>
        <w:tblLook w:val="01E0" w:firstRow="1" w:lastRow="1" w:firstColumn="1" w:lastColumn="1" w:noHBand="0" w:noVBand="0"/>
      </w:tblPr>
      <w:tblGrid>
        <w:gridCol w:w="2302"/>
        <w:gridCol w:w="8"/>
        <w:gridCol w:w="2295"/>
        <w:gridCol w:w="2303"/>
        <w:gridCol w:w="7"/>
        <w:gridCol w:w="2296"/>
      </w:tblGrid>
      <w:tr w:rsidR="00A021F5" w:rsidRPr="00A021F5" w:rsidTr="00C722CB">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catégorie</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Titulaires</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Non titulaires</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0"/>
                <w:szCs w:val="20"/>
                <w:lang w:eastAsia="en-US"/>
              </w:rPr>
            </w:pPr>
            <w:r w:rsidRPr="00A021F5">
              <w:rPr>
                <w:b/>
                <w:sz w:val="20"/>
                <w:szCs w:val="20"/>
                <w:lang w:eastAsia="en-US"/>
              </w:rPr>
              <w:t>observations</w:t>
            </w: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Direction</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b/>
                <w:sz w:val="22"/>
                <w:szCs w:val="22"/>
                <w:lang w:eastAsia="en-US"/>
              </w:rPr>
            </w:pPr>
            <w:r w:rsidRPr="00A021F5">
              <w:rPr>
                <w:b/>
                <w:sz w:val="22"/>
                <w:szCs w:val="22"/>
                <w:lang w:eastAsia="en-US"/>
              </w:rPr>
              <w:t>1+1</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 xml:space="preserve"> </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CPE</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1 (F </w:t>
            </w:r>
            <w:proofErr w:type="gramStart"/>
            <w:r w:rsidRPr="00A021F5">
              <w:rPr>
                <w:sz w:val="22"/>
                <w:szCs w:val="22"/>
                <w:lang w:eastAsia="en-US"/>
              </w:rPr>
              <w:t>:1</w:t>
            </w:r>
            <w:proofErr w:type="gramEnd"/>
            <w:r w:rsidRPr="00A021F5">
              <w:rPr>
                <w:sz w:val="22"/>
                <w:szCs w:val="22"/>
                <w:lang w:eastAsia="en-US"/>
              </w:rPr>
              <w:t>)</w:t>
            </w:r>
          </w:p>
        </w:tc>
        <w:tc>
          <w:tcPr>
            <w:tcW w:w="2303"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r w:rsidRPr="00A021F5">
              <w:rPr>
                <w:sz w:val="22"/>
                <w:szCs w:val="22"/>
                <w:lang w:eastAsia="en-US"/>
              </w:rPr>
              <w:t>1 (F </w:t>
            </w:r>
            <w:proofErr w:type="gramStart"/>
            <w:r w:rsidRPr="00A021F5">
              <w:rPr>
                <w:sz w:val="22"/>
                <w:szCs w:val="22"/>
                <w:lang w:eastAsia="en-US"/>
              </w:rPr>
              <w:t>:1</w:t>
            </w:r>
            <w:proofErr w:type="gramEnd"/>
            <w:r w:rsidRPr="00A021F5">
              <w:rPr>
                <w:sz w:val="22"/>
                <w:szCs w:val="22"/>
                <w:lang w:eastAsia="en-US"/>
              </w:rPr>
              <w:t>)</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Chef de travaux</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 xml:space="preserve"> 1</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1 assistant</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Professeurs certifiés</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33 (H </w:t>
            </w:r>
            <w:proofErr w:type="gramStart"/>
            <w:r w:rsidRPr="00A021F5">
              <w:rPr>
                <w:sz w:val="22"/>
                <w:szCs w:val="22"/>
                <w:lang w:eastAsia="en-US"/>
              </w:rPr>
              <w:t>:14</w:t>
            </w:r>
            <w:proofErr w:type="gramEnd"/>
            <w:r w:rsidRPr="00A021F5">
              <w:rPr>
                <w:sz w:val="22"/>
                <w:szCs w:val="22"/>
                <w:lang w:eastAsia="en-US"/>
              </w:rPr>
              <w:t>) (F :19)</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4 (H </w:t>
            </w:r>
            <w:proofErr w:type="gramStart"/>
            <w:r w:rsidRPr="00A021F5">
              <w:rPr>
                <w:sz w:val="22"/>
                <w:szCs w:val="22"/>
                <w:lang w:eastAsia="en-US"/>
              </w:rPr>
              <w:t>:1</w:t>
            </w:r>
            <w:proofErr w:type="gramEnd"/>
            <w:r w:rsidRPr="00A021F5">
              <w:rPr>
                <w:sz w:val="22"/>
                <w:szCs w:val="22"/>
                <w:lang w:eastAsia="en-US"/>
              </w:rPr>
              <w:t xml:space="preserve">  F :3)</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Professeurs agrégés</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b/>
                <w:sz w:val="22"/>
                <w:szCs w:val="22"/>
                <w:lang w:eastAsia="en-US"/>
              </w:rPr>
              <w:t xml:space="preserve">  2 </w:t>
            </w:r>
            <w:proofErr w:type="gramStart"/>
            <w:r w:rsidRPr="00A021F5">
              <w:rPr>
                <w:sz w:val="22"/>
                <w:szCs w:val="22"/>
                <w:lang w:eastAsia="en-US"/>
              </w:rPr>
              <w:t>( H</w:t>
            </w:r>
            <w:proofErr w:type="gramEnd"/>
            <w:r w:rsidRPr="00A021F5">
              <w:rPr>
                <w:sz w:val="22"/>
                <w:szCs w:val="22"/>
                <w:lang w:eastAsia="en-US"/>
              </w:rPr>
              <w:t> :1) (F :1)</w:t>
            </w:r>
          </w:p>
        </w:tc>
        <w:tc>
          <w:tcPr>
            <w:tcW w:w="2303"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PLP</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 xml:space="preserve">25 </w:t>
            </w:r>
            <w:proofErr w:type="gramStart"/>
            <w:r w:rsidRPr="00A021F5">
              <w:rPr>
                <w:sz w:val="22"/>
                <w:szCs w:val="22"/>
                <w:lang w:eastAsia="en-US"/>
              </w:rPr>
              <w:t>( H</w:t>
            </w:r>
            <w:proofErr w:type="gramEnd"/>
            <w:r w:rsidRPr="00A021F5">
              <w:rPr>
                <w:sz w:val="22"/>
                <w:szCs w:val="22"/>
                <w:lang w:eastAsia="en-US"/>
              </w:rPr>
              <w:t> :11) (F :10)</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2"/>
                <w:szCs w:val="22"/>
                <w:lang w:eastAsia="en-US"/>
              </w:rPr>
            </w:pPr>
            <w:r w:rsidRPr="00A021F5">
              <w:rPr>
                <w:sz w:val="22"/>
                <w:szCs w:val="22"/>
                <w:lang w:eastAsia="en-US"/>
              </w:rPr>
              <w:t>6 (H </w:t>
            </w:r>
            <w:proofErr w:type="gramStart"/>
            <w:r w:rsidRPr="00A021F5">
              <w:rPr>
                <w:sz w:val="22"/>
                <w:szCs w:val="22"/>
                <w:lang w:eastAsia="en-US"/>
              </w:rPr>
              <w:t>:3</w:t>
            </w:r>
            <w:proofErr w:type="gramEnd"/>
            <w:r w:rsidRPr="00A021F5">
              <w:rPr>
                <w:sz w:val="22"/>
                <w:szCs w:val="22"/>
                <w:lang w:eastAsia="en-US"/>
              </w:rPr>
              <w:t>) (F :3)</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Assistants d’éducation</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c>
          <w:tcPr>
            <w:tcW w:w="2303"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r w:rsidRPr="00A021F5">
              <w:rPr>
                <w:sz w:val="22"/>
                <w:szCs w:val="22"/>
                <w:lang w:eastAsia="en-US"/>
              </w:rPr>
              <w:t xml:space="preserve">5.5 </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2"/>
                <w:szCs w:val="22"/>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CUI Surveillance</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 xml:space="preserve"> </w:t>
            </w:r>
          </w:p>
          <w:p w:rsidR="00A021F5" w:rsidRPr="00A021F5" w:rsidRDefault="00A021F5" w:rsidP="00A021F5">
            <w:pPr>
              <w:rPr>
                <w:sz w:val="20"/>
                <w:szCs w:val="20"/>
                <w:lang w:eastAsia="en-US"/>
              </w:rPr>
            </w:pPr>
            <w:r w:rsidRPr="00A021F5">
              <w:rPr>
                <w:sz w:val="20"/>
                <w:szCs w:val="20"/>
                <w:lang w:eastAsia="en-US"/>
              </w:rPr>
              <w:t xml:space="preserve"> 7</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p w:rsidR="00A021F5" w:rsidRPr="00A021F5" w:rsidRDefault="00A021F5" w:rsidP="00A021F5">
            <w:pPr>
              <w:rPr>
                <w:sz w:val="20"/>
                <w:szCs w:val="20"/>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Gestionnaire</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 xml:space="preserve"> 1</w:t>
            </w:r>
          </w:p>
        </w:tc>
        <w:tc>
          <w:tcPr>
            <w:tcW w:w="2303"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1</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SAENES</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p>
        </w:tc>
        <w:tc>
          <w:tcPr>
            <w:tcW w:w="2303" w:type="dxa"/>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1</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Agents administratifs</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r w:rsidRPr="00A021F5">
              <w:rPr>
                <w:sz w:val="20"/>
                <w:szCs w:val="20"/>
                <w:lang w:eastAsia="en-US"/>
              </w:rPr>
              <w:t>1</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 xml:space="preserve"> </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CUI entretien</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 xml:space="preserve"> 12</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r>
      <w:tr w:rsidR="00A021F5" w:rsidRPr="00A021F5" w:rsidTr="00C722CB">
        <w:trPr>
          <w:trHeight w:val="397"/>
        </w:trPr>
        <w:tc>
          <w:tcPr>
            <w:tcW w:w="2302"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Agents d’entretien</w:t>
            </w:r>
          </w:p>
        </w:tc>
        <w:tc>
          <w:tcPr>
            <w:tcW w:w="2303" w:type="dxa"/>
            <w:gridSpan w:val="2"/>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6</w:t>
            </w:r>
          </w:p>
        </w:tc>
        <w:tc>
          <w:tcPr>
            <w:tcW w:w="2303" w:type="dxa"/>
            <w:tcBorders>
              <w:top w:val="single" w:sz="4" w:space="0" w:color="auto"/>
              <w:left w:val="single" w:sz="4" w:space="0" w:color="auto"/>
              <w:bottom w:val="single" w:sz="4" w:space="0" w:color="auto"/>
              <w:right w:val="single" w:sz="4" w:space="0" w:color="auto"/>
            </w:tcBorders>
            <w:hideMark/>
          </w:tcPr>
          <w:p w:rsidR="00A021F5" w:rsidRPr="00A021F5" w:rsidRDefault="00A021F5" w:rsidP="00A021F5">
            <w:pPr>
              <w:rPr>
                <w:sz w:val="20"/>
                <w:szCs w:val="20"/>
                <w:lang w:eastAsia="en-US"/>
              </w:rPr>
            </w:pPr>
            <w:r w:rsidRPr="00A021F5">
              <w:rPr>
                <w:sz w:val="20"/>
                <w:szCs w:val="20"/>
                <w:lang w:eastAsia="en-US"/>
              </w:rPr>
              <w:t>1</w:t>
            </w:r>
          </w:p>
        </w:tc>
        <w:tc>
          <w:tcPr>
            <w:tcW w:w="2303" w:type="dxa"/>
            <w:gridSpan w:val="2"/>
            <w:tcBorders>
              <w:top w:val="single" w:sz="4" w:space="0" w:color="auto"/>
              <w:left w:val="single" w:sz="4" w:space="0" w:color="auto"/>
              <w:bottom w:val="single" w:sz="4" w:space="0" w:color="auto"/>
              <w:right w:val="single" w:sz="4" w:space="0" w:color="auto"/>
            </w:tcBorders>
          </w:tcPr>
          <w:p w:rsidR="00A021F5" w:rsidRPr="00A021F5" w:rsidRDefault="00A021F5" w:rsidP="00A021F5">
            <w:pPr>
              <w:rPr>
                <w:sz w:val="20"/>
                <w:szCs w:val="20"/>
                <w:lang w:eastAsia="en-US"/>
              </w:rPr>
            </w:pPr>
          </w:p>
        </w:tc>
      </w:tr>
      <w:tr w:rsidR="00A021F5" w:rsidRPr="00A021F5" w:rsidTr="00C722CB">
        <w:tblPrEx>
          <w:tblCellMar>
            <w:left w:w="70" w:type="dxa"/>
            <w:right w:w="70" w:type="dxa"/>
          </w:tblCellMar>
          <w:tblLook w:val="0000" w:firstRow="0" w:lastRow="0" w:firstColumn="0" w:lastColumn="0" w:noHBand="0" w:noVBand="0"/>
        </w:tblPrEx>
        <w:trPr>
          <w:trHeight w:val="390"/>
        </w:trPr>
        <w:tc>
          <w:tcPr>
            <w:tcW w:w="2310" w:type="dxa"/>
            <w:gridSpan w:val="2"/>
          </w:tcPr>
          <w:p w:rsidR="00A021F5" w:rsidRPr="00A021F5" w:rsidRDefault="00A021F5" w:rsidP="00A021F5">
            <w:pPr>
              <w:spacing w:after="200" w:line="276" w:lineRule="auto"/>
              <w:jc w:val="both"/>
              <w:rPr>
                <w:sz w:val="20"/>
                <w:szCs w:val="20"/>
                <w:lang w:eastAsia="en-US"/>
              </w:rPr>
            </w:pPr>
            <w:r w:rsidRPr="00A021F5">
              <w:rPr>
                <w:sz w:val="20"/>
                <w:szCs w:val="20"/>
                <w:lang w:eastAsia="en-US"/>
              </w:rPr>
              <w:t>Infirmière</w:t>
            </w:r>
          </w:p>
        </w:tc>
        <w:tc>
          <w:tcPr>
            <w:tcW w:w="2295" w:type="dxa"/>
          </w:tcPr>
          <w:p w:rsidR="00A021F5" w:rsidRPr="00A021F5" w:rsidRDefault="00A021F5" w:rsidP="00A021F5">
            <w:pPr>
              <w:jc w:val="both"/>
              <w:rPr>
                <w:sz w:val="20"/>
                <w:szCs w:val="20"/>
                <w:lang w:eastAsia="en-US"/>
              </w:rPr>
            </w:pPr>
            <w:r w:rsidRPr="00A021F5">
              <w:rPr>
                <w:sz w:val="20"/>
                <w:szCs w:val="20"/>
                <w:lang w:eastAsia="en-US"/>
              </w:rPr>
              <w:t>1Plein temps</w:t>
            </w:r>
          </w:p>
        </w:tc>
        <w:tc>
          <w:tcPr>
            <w:tcW w:w="2310" w:type="dxa"/>
            <w:gridSpan w:val="2"/>
          </w:tcPr>
          <w:p w:rsidR="00A021F5" w:rsidRPr="00A021F5" w:rsidRDefault="00A021F5" w:rsidP="00A021F5">
            <w:pPr>
              <w:jc w:val="both"/>
              <w:rPr>
                <w:b/>
                <w:sz w:val="20"/>
                <w:szCs w:val="20"/>
                <w:lang w:eastAsia="en-US"/>
              </w:rPr>
            </w:pPr>
          </w:p>
        </w:tc>
        <w:tc>
          <w:tcPr>
            <w:tcW w:w="2296" w:type="dxa"/>
          </w:tcPr>
          <w:p w:rsidR="00A021F5" w:rsidRPr="00A021F5" w:rsidRDefault="00A021F5" w:rsidP="00A021F5">
            <w:pPr>
              <w:jc w:val="both"/>
              <w:rPr>
                <w:b/>
                <w:sz w:val="20"/>
                <w:szCs w:val="20"/>
                <w:lang w:eastAsia="en-US"/>
              </w:rPr>
            </w:pPr>
          </w:p>
        </w:tc>
      </w:tr>
      <w:tr w:rsidR="00A021F5" w:rsidRPr="00A021F5" w:rsidTr="00C722CB">
        <w:tblPrEx>
          <w:tblCellMar>
            <w:left w:w="70" w:type="dxa"/>
            <w:right w:w="70" w:type="dxa"/>
          </w:tblCellMar>
          <w:tblLook w:val="0000" w:firstRow="0" w:lastRow="0" w:firstColumn="0" w:lastColumn="0" w:noHBand="0" w:noVBand="0"/>
        </w:tblPrEx>
        <w:trPr>
          <w:trHeight w:val="375"/>
        </w:trPr>
        <w:tc>
          <w:tcPr>
            <w:tcW w:w="2310" w:type="dxa"/>
            <w:gridSpan w:val="2"/>
          </w:tcPr>
          <w:p w:rsidR="00A021F5" w:rsidRPr="00A021F5" w:rsidRDefault="00A021F5" w:rsidP="00A021F5">
            <w:pPr>
              <w:spacing w:after="200" w:line="276" w:lineRule="auto"/>
              <w:jc w:val="both"/>
              <w:rPr>
                <w:sz w:val="20"/>
                <w:szCs w:val="20"/>
                <w:lang w:eastAsia="en-US"/>
              </w:rPr>
            </w:pPr>
            <w:r w:rsidRPr="00A021F5">
              <w:rPr>
                <w:sz w:val="20"/>
                <w:szCs w:val="20"/>
                <w:lang w:eastAsia="en-US"/>
              </w:rPr>
              <w:t>Assistante Sociale</w:t>
            </w:r>
          </w:p>
        </w:tc>
        <w:tc>
          <w:tcPr>
            <w:tcW w:w="2295" w:type="dxa"/>
          </w:tcPr>
          <w:p w:rsidR="00A021F5" w:rsidRPr="00A021F5" w:rsidRDefault="00A021F5" w:rsidP="00A021F5">
            <w:pPr>
              <w:jc w:val="both"/>
              <w:rPr>
                <w:sz w:val="20"/>
                <w:szCs w:val="20"/>
                <w:lang w:eastAsia="en-US"/>
              </w:rPr>
            </w:pPr>
            <w:r w:rsidRPr="00A021F5">
              <w:rPr>
                <w:sz w:val="20"/>
                <w:szCs w:val="20"/>
                <w:lang w:eastAsia="en-US"/>
              </w:rPr>
              <w:t xml:space="preserve">1 </w:t>
            </w:r>
            <w:proofErr w:type="spellStart"/>
            <w:r w:rsidRPr="00A021F5">
              <w:rPr>
                <w:sz w:val="20"/>
                <w:szCs w:val="20"/>
                <w:lang w:eastAsia="en-US"/>
              </w:rPr>
              <w:t>mi temps</w:t>
            </w:r>
            <w:proofErr w:type="spellEnd"/>
          </w:p>
        </w:tc>
        <w:tc>
          <w:tcPr>
            <w:tcW w:w="2310" w:type="dxa"/>
            <w:gridSpan w:val="2"/>
          </w:tcPr>
          <w:p w:rsidR="00A021F5" w:rsidRPr="00A021F5" w:rsidRDefault="00A021F5" w:rsidP="00A021F5">
            <w:pPr>
              <w:jc w:val="both"/>
              <w:rPr>
                <w:b/>
                <w:sz w:val="20"/>
                <w:szCs w:val="20"/>
                <w:lang w:eastAsia="en-US"/>
              </w:rPr>
            </w:pPr>
          </w:p>
        </w:tc>
        <w:tc>
          <w:tcPr>
            <w:tcW w:w="2296" w:type="dxa"/>
          </w:tcPr>
          <w:p w:rsidR="00A021F5" w:rsidRPr="00A021F5" w:rsidRDefault="00A021F5" w:rsidP="00A021F5">
            <w:pPr>
              <w:jc w:val="both"/>
              <w:rPr>
                <w:b/>
                <w:sz w:val="20"/>
                <w:szCs w:val="20"/>
                <w:lang w:eastAsia="en-US"/>
              </w:rPr>
            </w:pPr>
          </w:p>
        </w:tc>
      </w:tr>
      <w:tr w:rsidR="00A021F5" w:rsidRPr="00A021F5" w:rsidTr="00C722CB">
        <w:tblPrEx>
          <w:tblCellMar>
            <w:left w:w="70" w:type="dxa"/>
            <w:right w:w="70" w:type="dxa"/>
          </w:tblCellMar>
          <w:tblLook w:val="0000" w:firstRow="0" w:lastRow="0" w:firstColumn="0" w:lastColumn="0" w:noHBand="0" w:noVBand="0"/>
        </w:tblPrEx>
        <w:trPr>
          <w:trHeight w:val="380"/>
        </w:trPr>
        <w:tc>
          <w:tcPr>
            <w:tcW w:w="2310" w:type="dxa"/>
            <w:gridSpan w:val="2"/>
          </w:tcPr>
          <w:p w:rsidR="00A021F5" w:rsidRPr="00A021F5" w:rsidRDefault="00A021F5" w:rsidP="00A021F5">
            <w:pPr>
              <w:spacing w:after="200" w:line="276" w:lineRule="auto"/>
              <w:jc w:val="both"/>
              <w:rPr>
                <w:sz w:val="20"/>
                <w:szCs w:val="20"/>
                <w:lang w:eastAsia="en-US"/>
              </w:rPr>
            </w:pPr>
            <w:r w:rsidRPr="00A021F5">
              <w:rPr>
                <w:sz w:val="20"/>
                <w:szCs w:val="20"/>
                <w:lang w:eastAsia="en-US"/>
              </w:rPr>
              <w:t>COP</w:t>
            </w:r>
          </w:p>
        </w:tc>
        <w:tc>
          <w:tcPr>
            <w:tcW w:w="2295" w:type="dxa"/>
          </w:tcPr>
          <w:p w:rsidR="00A021F5" w:rsidRPr="00A021F5" w:rsidRDefault="00A021F5" w:rsidP="00A021F5">
            <w:pPr>
              <w:jc w:val="both"/>
              <w:rPr>
                <w:sz w:val="20"/>
                <w:szCs w:val="20"/>
                <w:lang w:eastAsia="en-US"/>
              </w:rPr>
            </w:pPr>
            <w:r w:rsidRPr="00A021F5">
              <w:rPr>
                <w:sz w:val="20"/>
                <w:szCs w:val="20"/>
                <w:lang w:eastAsia="en-US"/>
              </w:rPr>
              <w:t>1  (2 jours par semaine)</w:t>
            </w:r>
          </w:p>
        </w:tc>
        <w:tc>
          <w:tcPr>
            <w:tcW w:w="2310" w:type="dxa"/>
            <w:gridSpan w:val="2"/>
          </w:tcPr>
          <w:p w:rsidR="00A021F5" w:rsidRPr="00A021F5" w:rsidRDefault="00A021F5" w:rsidP="00A021F5">
            <w:pPr>
              <w:jc w:val="both"/>
              <w:rPr>
                <w:b/>
                <w:sz w:val="20"/>
                <w:szCs w:val="20"/>
                <w:lang w:eastAsia="en-US"/>
              </w:rPr>
            </w:pPr>
          </w:p>
        </w:tc>
        <w:tc>
          <w:tcPr>
            <w:tcW w:w="2296" w:type="dxa"/>
          </w:tcPr>
          <w:p w:rsidR="00A021F5" w:rsidRPr="00A021F5" w:rsidRDefault="00A021F5" w:rsidP="00A021F5">
            <w:pPr>
              <w:jc w:val="both"/>
              <w:rPr>
                <w:b/>
                <w:sz w:val="20"/>
                <w:szCs w:val="20"/>
                <w:lang w:eastAsia="en-US"/>
              </w:rPr>
            </w:pPr>
          </w:p>
        </w:tc>
      </w:tr>
      <w:tr w:rsidR="00A021F5" w:rsidRPr="00A021F5" w:rsidTr="00C722CB">
        <w:tblPrEx>
          <w:tblCellMar>
            <w:left w:w="70" w:type="dxa"/>
            <w:right w:w="70" w:type="dxa"/>
          </w:tblCellMar>
          <w:tblLook w:val="0000" w:firstRow="0" w:lastRow="0" w:firstColumn="0" w:lastColumn="0" w:noHBand="0" w:noVBand="0"/>
        </w:tblPrEx>
        <w:trPr>
          <w:trHeight w:val="495"/>
        </w:trPr>
        <w:tc>
          <w:tcPr>
            <w:tcW w:w="2310" w:type="dxa"/>
            <w:gridSpan w:val="2"/>
          </w:tcPr>
          <w:p w:rsidR="00A021F5" w:rsidRPr="00A021F5" w:rsidRDefault="00A021F5" w:rsidP="00A021F5">
            <w:pPr>
              <w:spacing w:after="200" w:line="276" w:lineRule="auto"/>
              <w:jc w:val="both"/>
              <w:rPr>
                <w:b/>
                <w:sz w:val="28"/>
                <w:szCs w:val="28"/>
                <w:lang w:eastAsia="en-US"/>
              </w:rPr>
            </w:pPr>
            <w:r w:rsidRPr="00A021F5">
              <w:rPr>
                <w:b/>
                <w:sz w:val="28"/>
                <w:szCs w:val="28"/>
                <w:lang w:eastAsia="en-US"/>
              </w:rPr>
              <w:t>Total</w:t>
            </w:r>
          </w:p>
        </w:tc>
        <w:tc>
          <w:tcPr>
            <w:tcW w:w="2295" w:type="dxa"/>
          </w:tcPr>
          <w:p w:rsidR="00A021F5" w:rsidRPr="00A021F5" w:rsidRDefault="00A021F5" w:rsidP="00A021F5">
            <w:pPr>
              <w:spacing w:after="200" w:line="276" w:lineRule="auto"/>
              <w:rPr>
                <w:b/>
                <w:sz w:val="28"/>
                <w:szCs w:val="28"/>
                <w:lang w:eastAsia="en-US"/>
              </w:rPr>
            </w:pPr>
            <w:r w:rsidRPr="00A021F5">
              <w:rPr>
                <w:b/>
                <w:sz w:val="28"/>
                <w:szCs w:val="28"/>
                <w:lang w:eastAsia="en-US"/>
              </w:rPr>
              <w:t>73</w:t>
            </w:r>
          </w:p>
        </w:tc>
        <w:tc>
          <w:tcPr>
            <w:tcW w:w="2310" w:type="dxa"/>
            <w:gridSpan w:val="2"/>
          </w:tcPr>
          <w:p w:rsidR="00A021F5" w:rsidRPr="00A021F5" w:rsidRDefault="00A021F5" w:rsidP="00A021F5">
            <w:pPr>
              <w:spacing w:after="200" w:line="276" w:lineRule="auto"/>
              <w:jc w:val="both"/>
              <w:rPr>
                <w:b/>
                <w:sz w:val="28"/>
                <w:szCs w:val="28"/>
                <w:lang w:eastAsia="en-US"/>
              </w:rPr>
            </w:pPr>
            <w:r w:rsidRPr="00A021F5">
              <w:rPr>
                <w:b/>
                <w:sz w:val="28"/>
                <w:szCs w:val="28"/>
                <w:lang w:eastAsia="en-US"/>
              </w:rPr>
              <w:t>39.5</w:t>
            </w:r>
          </w:p>
        </w:tc>
        <w:tc>
          <w:tcPr>
            <w:tcW w:w="2296" w:type="dxa"/>
          </w:tcPr>
          <w:p w:rsidR="00A021F5" w:rsidRPr="00A021F5" w:rsidRDefault="00A021F5" w:rsidP="00A021F5">
            <w:pPr>
              <w:spacing w:after="200" w:line="276" w:lineRule="auto"/>
              <w:jc w:val="both"/>
              <w:rPr>
                <w:b/>
                <w:sz w:val="28"/>
                <w:szCs w:val="28"/>
                <w:lang w:eastAsia="en-US"/>
              </w:rPr>
            </w:pPr>
          </w:p>
        </w:tc>
      </w:tr>
    </w:tbl>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b/>
          <w:sz w:val="22"/>
          <w:szCs w:val="22"/>
          <w:lang w:eastAsia="en-US"/>
        </w:rPr>
        <w:t>A noter :</w:t>
      </w:r>
      <w:r w:rsidRPr="00A021F5">
        <w:rPr>
          <w:rFonts w:asciiTheme="minorHAnsi" w:eastAsiaTheme="minorHAnsi" w:hAnsiTheme="minorHAnsi" w:cstheme="minorBidi"/>
          <w:sz w:val="22"/>
          <w:szCs w:val="22"/>
          <w:lang w:eastAsia="en-US"/>
        </w:rPr>
        <w:t xml:space="preserve"> augmentation du nombre de titulaires (60/70), donc stabilité des équipes et pérennisation des projets.</w:t>
      </w:r>
    </w:p>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p>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r w:rsidRPr="00A021F5">
        <w:rPr>
          <w:rFonts w:asciiTheme="minorHAnsi" w:eastAsiaTheme="minorHAnsi" w:hAnsiTheme="minorHAnsi" w:cstheme="minorBidi"/>
          <w:b/>
          <w:sz w:val="28"/>
          <w:szCs w:val="28"/>
          <w:u w:val="single"/>
          <w:lang w:eastAsia="en-US"/>
        </w:rPr>
        <w:t>7. Infrastructures</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Composé de bungalows en bois répartis sur une importante surface (2Ha), le lycée est difficile à surveiller. Les personnels se plaignent de l’éloignement entre les salles. A la saison des pluies, l’absence de coursives entre les bâtiments nuit au confort des usagers.</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Lorsqu’ils ne sont pas en classe, les élèves peuvent se rendre dans l’unique salle de permanence sinon trois carbets d’une quinzaine de places et une petite salle de foyer peuvent les accueillir.</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L’éloignement du centre-ville amène élèves et enseignants à  rester sur place pendant les pauses, les heures creuses et souvent le midi deux. Les jeunes s’installent devant les bungalows, sous les carbets ou dans la salle de permanence. Depuis janvier 2011, l’établissement ferme de 12h30 à 14h pour raison de sécurité. Toutefois des activités encadrées sont proposées: divers sports dans le cadre de l’AS, des clubs : santé, citoyenneté, jeu de dames… des cours de soutien en tertiaire administratif, cours de langues…de plus le CDI est ouvert.</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lastRenderedPageBreak/>
        <w:t>Une réflexion sur l’utilisation du midi deux est en cours.</w:t>
      </w:r>
    </w:p>
    <w:p w:rsidR="00A021F5" w:rsidRPr="00A021F5" w:rsidRDefault="00A021F5" w:rsidP="00A021F5">
      <w:pPr>
        <w:spacing w:after="200" w:line="276" w:lineRule="auto"/>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L’exploitation d’un « self-service » d’application permet à une trentaine de convives de se restaurer sur place pendant une bonne partie de l’année scolaire. Cela ne remplace pas une demi-pension mais améliore l’accueil des élèves et des personnels, le quartier étant dépourvu de restaurants ou de fast-food.</w:t>
      </w:r>
    </w:p>
    <w:p w:rsidR="00A021F5" w:rsidRPr="00A021F5" w:rsidRDefault="00A021F5" w:rsidP="00A021F5">
      <w:pPr>
        <w:spacing w:after="200" w:line="276" w:lineRule="auto"/>
        <w:jc w:val="both"/>
        <w:rPr>
          <w:rFonts w:asciiTheme="minorHAnsi" w:eastAsiaTheme="minorHAnsi" w:hAnsiTheme="minorHAnsi" w:cstheme="minorBidi"/>
          <w:b/>
          <w:sz w:val="28"/>
          <w:szCs w:val="28"/>
          <w:lang w:eastAsia="en-US"/>
        </w:rPr>
      </w:pPr>
      <w:r w:rsidRPr="00A021F5">
        <w:rPr>
          <w:rFonts w:asciiTheme="minorHAnsi" w:eastAsiaTheme="minorHAnsi" w:hAnsiTheme="minorHAnsi" w:cstheme="minorBidi"/>
          <w:sz w:val="22"/>
          <w:szCs w:val="22"/>
          <w:lang w:eastAsia="en-US"/>
        </w:rPr>
        <w:t xml:space="preserve">Une cinquantaine d’élèves fréquentent la demi-pension du LPO </w:t>
      </w:r>
      <w:proofErr w:type="spellStart"/>
      <w:r w:rsidRPr="00A021F5">
        <w:rPr>
          <w:rFonts w:asciiTheme="minorHAnsi" w:eastAsiaTheme="minorHAnsi" w:hAnsiTheme="minorHAnsi" w:cstheme="minorBidi"/>
          <w:sz w:val="22"/>
          <w:szCs w:val="22"/>
          <w:lang w:eastAsia="en-US"/>
        </w:rPr>
        <w:t>Bertène</w:t>
      </w:r>
      <w:proofErr w:type="spellEnd"/>
      <w:r w:rsidRPr="00A021F5">
        <w:rPr>
          <w:rFonts w:asciiTheme="minorHAnsi" w:eastAsiaTheme="minorHAnsi" w:hAnsiTheme="minorHAnsi" w:cstheme="minorBidi"/>
          <w:sz w:val="22"/>
          <w:szCs w:val="22"/>
          <w:lang w:eastAsia="en-US"/>
        </w:rPr>
        <w:t xml:space="preserve"> </w:t>
      </w:r>
      <w:proofErr w:type="spellStart"/>
      <w:r w:rsidRPr="00A021F5">
        <w:rPr>
          <w:rFonts w:asciiTheme="minorHAnsi" w:eastAsiaTheme="minorHAnsi" w:hAnsiTheme="minorHAnsi" w:cstheme="minorBidi"/>
          <w:sz w:val="22"/>
          <w:szCs w:val="22"/>
          <w:lang w:eastAsia="en-US"/>
        </w:rPr>
        <w:t>Juminer</w:t>
      </w:r>
      <w:proofErr w:type="spellEnd"/>
      <w:r w:rsidRPr="00A021F5">
        <w:rPr>
          <w:rFonts w:asciiTheme="minorHAnsi" w:eastAsiaTheme="minorHAnsi" w:hAnsiTheme="minorHAnsi" w:cstheme="minorBidi"/>
          <w:sz w:val="22"/>
          <w:szCs w:val="22"/>
          <w:lang w:eastAsia="en-US"/>
        </w:rPr>
        <w:t xml:space="preserve"> vers lequel ils sont acheminés par bus le lundi, le mardi, le jeudi et le vendredi à partir de 12h40.</w:t>
      </w: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p>
    <w:p w:rsidR="00A021F5" w:rsidRDefault="00A021F5" w:rsidP="00A021F5">
      <w:pPr>
        <w:spacing w:after="200" w:line="276" w:lineRule="auto"/>
        <w:rPr>
          <w:rFonts w:asciiTheme="minorHAnsi" w:eastAsiaTheme="minorHAnsi" w:hAnsiTheme="minorHAnsi" w:cstheme="minorBidi"/>
          <w:b/>
          <w:sz w:val="28"/>
          <w:szCs w:val="28"/>
          <w:lang w:eastAsia="en-US"/>
        </w:rPr>
      </w:pPr>
    </w:p>
    <w:p w:rsidR="00A021F5" w:rsidRPr="00A021F5" w:rsidRDefault="00A021F5" w:rsidP="00A021F5">
      <w:pPr>
        <w:spacing w:after="200" w:line="276" w:lineRule="auto"/>
        <w:rPr>
          <w:rFonts w:asciiTheme="minorHAnsi" w:eastAsiaTheme="minorHAnsi" w:hAnsiTheme="minorHAnsi" w:cstheme="minorBidi"/>
          <w:b/>
          <w:sz w:val="28"/>
          <w:szCs w:val="28"/>
          <w:lang w:eastAsia="en-US"/>
        </w:rPr>
      </w:pPr>
      <w:r w:rsidRPr="00A021F5">
        <w:rPr>
          <w:rFonts w:asciiTheme="minorHAnsi" w:eastAsiaTheme="minorHAnsi" w:hAnsiTheme="minorHAnsi" w:cstheme="minorBidi"/>
          <w:b/>
          <w:sz w:val="28"/>
          <w:szCs w:val="28"/>
          <w:lang w:eastAsia="en-US"/>
        </w:rPr>
        <w:lastRenderedPageBreak/>
        <w:t>CONCLUSION</w:t>
      </w:r>
    </w:p>
    <w:p w:rsidR="00A021F5" w:rsidRPr="00A021F5" w:rsidRDefault="00A021F5" w:rsidP="00A021F5">
      <w:pPr>
        <w:spacing w:after="200" w:line="276" w:lineRule="auto"/>
        <w:rPr>
          <w:rFonts w:asciiTheme="minorHAnsi" w:eastAsiaTheme="minorHAnsi" w:hAnsiTheme="minorHAnsi" w:cstheme="minorBidi"/>
          <w:sz w:val="22"/>
          <w:szCs w:val="22"/>
          <w:u w:val="single"/>
          <w:lang w:eastAsia="en-US"/>
        </w:rPr>
      </w:pPr>
      <w:r w:rsidRPr="00A021F5">
        <w:rPr>
          <w:rFonts w:asciiTheme="minorHAnsi" w:eastAsiaTheme="minorHAnsi" w:hAnsiTheme="minorHAnsi" w:cstheme="minorBidi"/>
          <w:b/>
          <w:sz w:val="28"/>
          <w:szCs w:val="28"/>
          <w:u w:val="single"/>
          <w:lang w:eastAsia="en-US"/>
        </w:rPr>
        <w:t>Les points forts de l’établissement :</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Collaboration fructueuse au sein des équipes pédagogiques, ouverture à l’innovation.</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Bonne volonté des élèves qui acceptent des conditions de travail  difficiles</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Réactivité des enseignants prêts à s’investir dans la réflexion sur le projet d’établissement</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Equipement récent, mise à disposition de 7 salles informatiques</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Partenariat efficace avec la Région</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Coopération avec le RSMA </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Développement du pôle d’excellence : succès de l’atelier sciences po.</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Développement filière arts visuels</w:t>
      </w:r>
    </w:p>
    <w:p w:rsidR="00A021F5" w:rsidRPr="00A021F5" w:rsidRDefault="00A021F5" w:rsidP="00A021F5">
      <w:pPr>
        <w:numPr>
          <w:ilvl w:val="0"/>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Dynamisme du CESC </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Diversité culturelle</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Efficacité de l’Action Sociale en faveur des élèves</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Ambiance calme. Peu d’incivilités et peu de dégradations.</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Amélioration constante des conditions de travail</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Salle de Visio Conférence (formations et réunions avec le Rectorat à Cayenne)</w:t>
      </w:r>
    </w:p>
    <w:p w:rsidR="00A021F5" w:rsidRPr="00A021F5" w:rsidRDefault="00A021F5" w:rsidP="00A021F5">
      <w:pPr>
        <w:numPr>
          <w:ilvl w:val="1"/>
          <w:numId w:val="1"/>
        </w:numPr>
        <w:spacing w:after="120"/>
        <w:ind w:left="714" w:hanging="357"/>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b/>
          <w:sz w:val="22"/>
          <w:szCs w:val="22"/>
          <w:lang w:eastAsia="en-US"/>
        </w:rPr>
        <w:t>Remise en chantier du Projet d’établissement et du contrat d’objectif</w:t>
      </w:r>
      <w:r w:rsidRPr="00A021F5">
        <w:rPr>
          <w:rFonts w:asciiTheme="minorHAnsi" w:eastAsiaTheme="minorHAnsi" w:hAnsiTheme="minorHAnsi" w:cstheme="minorBidi"/>
          <w:sz w:val="22"/>
          <w:szCs w:val="22"/>
          <w:lang w:eastAsia="en-US"/>
        </w:rPr>
        <w:t>.</w:t>
      </w:r>
    </w:p>
    <w:p w:rsidR="00A021F5" w:rsidRPr="00A021F5" w:rsidRDefault="00A021F5" w:rsidP="00A021F5">
      <w:pPr>
        <w:numPr>
          <w:ilvl w:val="1"/>
          <w:numId w:val="1"/>
        </w:numPr>
        <w:spacing w:after="200" w:line="276" w:lineRule="auto"/>
        <w:jc w:val="both"/>
        <w:rPr>
          <w:rFonts w:asciiTheme="minorHAnsi" w:eastAsiaTheme="minorHAnsi" w:hAnsiTheme="minorHAnsi" w:cstheme="minorBidi"/>
          <w:sz w:val="22"/>
          <w:szCs w:val="22"/>
          <w:lang w:eastAsia="en-US"/>
        </w:rPr>
      </w:pPr>
    </w:p>
    <w:p w:rsidR="00A021F5" w:rsidRPr="00A021F5" w:rsidRDefault="00A021F5" w:rsidP="00A021F5">
      <w:pPr>
        <w:spacing w:after="200" w:line="276" w:lineRule="auto"/>
        <w:jc w:val="both"/>
        <w:rPr>
          <w:rFonts w:asciiTheme="minorHAnsi" w:eastAsiaTheme="minorHAnsi" w:hAnsiTheme="minorHAnsi" w:cstheme="minorBidi"/>
          <w:b/>
          <w:sz w:val="28"/>
          <w:szCs w:val="28"/>
          <w:u w:val="single"/>
          <w:lang w:eastAsia="en-US"/>
        </w:rPr>
      </w:pPr>
      <w:r w:rsidRPr="00A021F5">
        <w:rPr>
          <w:rFonts w:asciiTheme="minorHAnsi" w:eastAsiaTheme="minorHAnsi" w:hAnsiTheme="minorHAnsi" w:cstheme="minorBidi"/>
          <w:b/>
          <w:sz w:val="28"/>
          <w:szCs w:val="28"/>
          <w:u w:val="single"/>
          <w:lang w:eastAsia="en-US"/>
        </w:rPr>
        <w:t>Les points faibles :</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Orientation par défaut, absentéisme et abandons en cours d’année</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 Difficultés scolaires et non francophonie </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 xml:space="preserve">Offre de stages insuffisante et peu diversifiée </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Coût des transports</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Accueil et vie scolaire (organisation du temps en dehors des cours)</w:t>
      </w:r>
    </w:p>
    <w:p w:rsidR="00A021F5" w:rsidRPr="00A021F5" w:rsidRDefault="00A021F5" w:rsidP="00A021F5">
      <w:pPr>
        <w:numPr>
          <w:ilvl w:val="1"/>
          <w:numId w:val="1"/>
        </w:numPr>
        <w:spacing w:after="200"/>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Relations avec les familles pratiquement inexistantes</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Entretien et maintenance des 289 Ordinateurs de l’établissement</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Difficulté de recrutement des enseignants</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Eloignement du Rectorat (difficulté de déplacement)</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Remplacement des enseignants absents</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Puissance de connexion Internet insuffisante</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Coupures électriques  et pannes fréquentes</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Salles non climatisées</w:t>
      </w:r>
    </w:p>
    <w:p w:rsidR="00A021F5" w:rsidRPr="00A021F5" w:rsidRDefault="00A021F5" w:rsidP="00A021F5">
      <w:pPr>
        <w:numPr>
          <w:ilvl w:val="0"/>
          <w:numId w:val="1"/>
        </w:numPr>
        <w:spacing w:after="200"/>
        <w:contextualSpacing/>
        <w:jc w:val="both"/>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Infiltrations d’eau de pluie dans certaines salles</w:t>
      </w:r>
    </w:p>
    <w:p w:rsidR="00A021F5" w:rsidRPr="00A021F5" w:rsidRDefault="00A021F5" w:rsidP="00A021F5">
      <w:pPr>
        <w:spacing w:after="200" w:line="276" w:lineRule="auto"/>
        <w:contextualSpacing/>
        <w:jc w:val="both"/>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r w:rsidRPr="00A021F5">
        <w:rPr>
          <w:rFonts w:asciiTheme="minorHAnsi" w:eastAsiaTheme="minorHAnsi" w:hAnsiTheme="minorHAnsi" w:cstheme="minorBidi"/>
          <w:sz w:val="22"/>
          <w:szCs w:val="22"/>
          <w:lang w:eastAsia="en-US"/>
        </w:rPr>
        <w:t>Au vu de ces conclusions et après les travaux de la journée du 15 juin, 3 axes de travail ont été définis.</w:t>
      </w:r>
    </w:p>
    <w:p w:rsidR="00A021F5" w:rsidRPr="00A021F5" w:rsidRDefault="00A021F5" w:rsidP="00A021F5">
      <w:pPr>
        <w:spacing w:after="200" w:line="276" w:lineRule="auto"/>
        <w:rPr>
          <w:rFonts w:asciiTheme="minorHAnsi" w:eastAsiaTheme="minorHAnsi" w:hAnsiTheme="minorHAnsi" w:cstheme="minorBidi"/>
          <w:sz w:val="28"/>
          <w:szCs w:val="28"/>
          <w:lang w:eastAsia="en-US"/>
        </w:rPr>
      </w:pPr>
      <w:r w:rsidRPr="00A021F5">
        <w:rPr>
          <w:rFonts w:asciiTheme="minorHAnsi" w:eastAsiaTheme="minorHAnsi" w:hAnsiTheme="minorHAnsi" w:cstheme="minorBidi"/>
          <w:sz w:val="28"/>
          <w:szCs w:val="28"/>
          <w:lang w:eastAsia="en-US"/>
        </w:rPr>
        <w:t>AXE 1 : ACCUEILLIR ET MOTIVER POUR REUSSIR</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sz w:val="28"/>
          <w:szCs w:val="28"/>
          <w:lang w:eastAsia="en-US"/>
        </w:rPr>
        <w:tab/>
      </w:r>
      <w:r w:rsidRPr="00A021F5">
        <w:rPr>
          <w:rFonts w:asciiTheme="minorHAnsi" w:eastAsiaTheme="minorHAnsi" w:hAnsiTheme="minorHAnsi" w:cstheme="minorBidi"/>
          <w:i/>
          <w:sz w:val="22"/>
          <w:szCs w:val="22"/>
          <w:lang w:eastAsia="en-US"/>
        </w:rPr>
        <w:t>Objectif 1 : Accompagner l’orientation des élèves en amont et en aval</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Objectif 2 : Favoriser la maitrise de la langue Française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Objectif 3 : Se familiariser avec les outils du numérique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Objectif 4 : Ouvrir les élèves au Monde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Objectif 5 : Accéder à des parcours d’excellence</w:t>
      </w:r>
    </w:p>
    <w:p w:rsidR="00A021F5" w:rsidRPr="00A021F5" w:rsidRDefault="00A021F5" w:rsidP="00A021F5">
      <w:pPr>
        <w:spacing w:after="200" w:line="276" w:lineRule="auto"/>
        <w:rPr>
          <w:rFonts w:asciiTheme="minorHAnsi" w:eastAsiaTheme="minorHAnsi" w:hAnsiTheme="minorHAnsi" w:cstheme="minorBidi"/>
          <w:sz w:val="28"/>
          <w:szCs w:val="28"/>
          <w:lang w:eastAsia="en-US"/>
        </w:rPr>
      </w:pPr>
      <w:r w:rsidRPr="00A021F5">
        <w:rPr>
          <w:rFonts w:asciiTheme="minorHAnsi" w:eastAsiaTheme="minorHAnsi" w:hAnsiTheme="minorHAnsi" w:cstheme="minorBidi"/>
          <w:sz w:val="28"/>
          <w:szCs w:val="28"/>
          <w:lang w:eastAsia="en-US"/>
        </w:rPr>
        <w:t>AXE 2 : DEVELOPPER LE BIEN VIVRE ENSEMBLE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sz w:val="28"/>
          <w:szCs w:val="28"/>
          <w:lang w:eastAsia="en-US"/>
        </w:rPr>
        <w:tab/>
      </w:r>
      <w:r w:rsidRPr="00A021F5">
        <w:rPr>
          <w:rFonts w:asciiTheme="minorHAnsi" w:eastAsiaTheme="minorHAnsi" w:hAnsiTheme="minorHAnsi" w:cstheme="minorBidi"/>
          <w:i/>
          <w:sz w:val="22"/>
          <w:szCs w:val="22"/>
          <w:lang w:eastAsia="en-US"/>
        </w:rPr>
        <w:t>Objectif 1 : Faire de l’établissement un lieu de vie Eco Responsable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2 : Développer l’Eco Lycée et sensibiliser au développement durable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3 : Développer la signalétique et la communication</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4 : Promouvoir les actions d’Education à la santé</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5 : Maintenir un niveau de sécurité pour favoriser une ambiance sereine</w:t>
      </w:r>
    </w:p>
    <w:p w:rsidR="00A021F5" w:rsidRPr="00A021F5" w:rsidRDefault="00A021F5" w:rsidP="00A021F5">
      <w:pPr>
        <w:spacing w:after="200" w:line="276" w:lineRule="auto"/>
        <w:rPr>
          <w:rFonts w:asciiTheme="minorHAnsi" w:eastAsiaTheme="minorHAnsi" w:hAnsiTheme="minorHAnsi" w:cstheme="minorBidi"/>
          <w:sz w:val="28"/>
          <w:szCs w:val="28"/>
          <w:lang w:eastAsia="en-US"/>
        </w:rPr>
      </w:pPr>
      <w:r w:rsidRPr="00A021F5">
        <w:rPr>
          <w:rFonts w:asciiTheme="minorHAnsi" w:eastAsiaTheme="minorHAnsi" w:hAnsiTheme="minorHAnsi" w:cstheme="minorBidi"/>
          <w:sz w:val="28"/>
          <w:szCs w:val="28"/>
          <w:lang w:eastAsia="en-US"/>
        </w:rPr>
        <w:t xml:space="preserve">AXE 3 : DEVELOPPER LA VIE SCOLAIRE  </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sz w:val="28"/>
          <w:szCs w:val="28"/>
          <w:lang w:eastAsia="en-US"/>
        </w:rPr>
        <w:tab/>
      </w:r>
      <w:r w:rsidRPr="00A021F5">
        <w:rPr>
          <w:rFonts w:asciiTheme="minorHAnsi" w:eastAsiaTheme="minorHAnsi" w:hAnsiTheme="minorHAnsi" w:cstheme="minorBidi"/>
          <w:i/>
          <w:sz w:val="22"/>
          <w:szCs w:val="22"/>
          <w:lang w:eastAsia="en-US"/>
        </w:rPr>
        <w:t>Objectif 1 : Lutter contre l’absentéisme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2 : Impliquer les élèves dans la vie du Lycée</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r w:rsidRPr="00A021F5">
        <w:rPr>
          <w:rFonts w:asciiTheme="minorHAnsi" w:eastAsiaTheme="minorHAnsi" w:hAnsiTheme="minorHAnsi" w:cstheme="minorBidi"/>
          <w:i/>
          <w:sz w:val="22"/>
          <w:szCs w:val="22"/>
          <w:lang w:eastAsia="en-US"/>
        </w:rPr>
        <w:tab/>
        <w:t>Objectif 3 : Impliquer les parents dans la scolarité de leur enfant</w:t>
      </w:r>
    </w:p>
    <w:p w:rsidR="00A021F5" w:rsidRPr="00A021F5" w:rsidRDefault="00A021F5" w:rsidP="00A021F5">
      <w:pPr>
        <w:spacing w:after="200" w:line="276" w:lineRule="auto"/>
        <w:rPr>
          <w:rFonts w:asciiTheme="minorHAnsi" w:eastAsiaTheme="minorHAnsi" w:hAnsiTheme="minorHAnsi" w:cstheme="minorBidi"/>
          <w:i/>
          <w:sz w:val="22"/>
          <w:szCs w:val="22"/>
          <w:lang w:eastAsia="en-US"/>
        </w:rPr>
      </w:pPr>
    </w:p>
    <w:p w:rsidR="00A021F5" w:rsidRPr="00A021F5" w:rsidRDefault="00A021F5" w:rsidP="00A021F5">
      <w:pPr>
        <w:spacing w:after="200" w:line="276" w:lineRule="auto"/>
        <w:rPr>
          <w:rFonts w:asciiTheme="minorHAnsi" w:eastAsiaTheme="minorHAnsi" w:hAnsiTheme="minorHAnsi" w:cstheme="minorBidi"/>
          <w:sz w:val="22"/>
          <w:szCs w:val="22"/>
          <w:lang w:eastAsia="en-US"/>
        </w:rPr>
      </w:pPr>
    </w:p>
    <w:p w:rsidR="00A021F5" w:rsidRDefault="00A021F5"/>
    <w:p w:rsidR="00C722CB" w:rsidRDefault="00C722CB"/>
    <w:p w:rsidR="00C722CB" w:rsidRDefault="00C722CB"/>
    <w:p w:rsidR="00C722CB" w:rsidRDefault="00C722CB"/>
    <w:p w:rsidR="00C722CB" w:rsidRDefault="00C722CB"/>
    <w:p w:rsidR="00A021F5" w:rsidRDefault="00A021F5"/>
    <w:p w:rsidR="00A021F5" w:rsidRDefault="00A021F5"/>
    <w:p w:rsidR="00A021F5" w:rsidRDefault="00A021F5">
      <w:bookmarkStart w:id="0" w:name="_GoBack"/>
      <w:bookmarkEnd w:id="0"/>
    </w:p>
    <w:sectPr w:rsidR="00A021F5" w:rsidSect="00C722CB">
      <w:footerReference w:type="default" r:id="rId11"/>
      <w:pgSz w:w="11906" w:h="16838"/>
      <w:pgMar w:top="1417" w:right="424"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C3" w:rsidRDefault="00E905C3" w:rsidP="00A021F5">
      <w:r>
        <w:separator/>
      </w:r>
    </w:p>
  </w:endnote>
  <w:endnote w:type="continuationSeparator" w:id="0">
    <w:p w:rsidR="00E905C3" w:rsidRDefault="00E905C3" w:rsidP="00A0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hristopherhand">
    <w:altName w:val="Times New Roman"/>
    <w:charset w:val="00"/>
    <w:family w:val="auto"/>
    <w:pitch w:val="variable"/>
    <w:sig w:usb0="00000001" w:usb1="500078F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21146"/>
      <w:docPartObj>
        <w:docPartGallery w:val="Page Numbers (Bottom of Page)"/>
        <w:docPartUnique/>
      </w:docPartObj>
    </w:sdtPr>
    <w:sdtContent>
      <w:p w:rsidR="00C722CB" w:rsidRDefault="00C722CB">
        <w:pPr>
          <w:pStyle w:val="Pieddepage"/>
          <w:jc w:val="right"/>
        </w:pPr>
        <w:r>
          <w:fldChar w:fldCharType="begin"/>
        </w:r>
        <w:r>
          <w:instrText>PAGE   \* MERGEFORMAT</w:instrText>
        </w:r>
        <w:r>
          <w:fldChar w:fldCharType="separate"/>
        </w:r>
        <w:r w:rsidR="00A70A83">
          <w:rPr>
            <w:noProof/>
          </w:rPr>
          <w:t>13</w:t>
        </w:r>
        <w:r>
          <w:fldChar w:fldCharType="end"/>
        </w:r>
      </w:p>
    </w:sdtContent>
  </w:sdt>
  <w:p w:rsidR="00C722CB" w:rsidRDefault="00C722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C3" w:rsidRDefault="00E905C3" w:rsidP="00A021F5">
      <w:r>
        <w:separator/>
      </w:r>
    </w:p>
  </w:footnote>
  <w:footnote w:type="continuationSeparator" w:id="0">
    <w:p w:rsidR="00E905C3" w:rsidRDefault="00E905C3" w:rsidP="00A02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E4E5A"/>
    <w:multiLevelType w:val="hybridMultilevel"/>
    <w:tmpl w:val="44C470C2"/>
    <w:lvl w:ilvl="0" w:tplc="3C747FBC">
      <w:numFmt w:val="bullet"/>
      <w:lvlText w:val="-"/>
      <w:lvlJc w:val="left"/>
      <w:pPr>
        <w:tabs>
          <w:tab w:val="num" w:pos="720"/>
        </w:tabs>
        <w:ind w:left="720" w:hanging="360"/>
      </w:pPr>
      <w:rPr>
        <w:rFonts w:ascii="Times New Roman" w:eastAsia="Times New Roman" w:hAnsi="Times New Roman" w:cs="Times New Roman" w:hint="default"/>
      </w:rPr>
    </w:lvl>
    <w:lvl w:ilvl="1" w:tplc="3C747FBC">
      <w:numFmt w:val="bullet"/>
      <w:lvlText w:val="-"/>
      <w:lvlJc w:val="left"/>
      <w:pPr>
        <w:tabs>
          <w:tab w:val="num" w:pos="720"/>
        </w:tabs>
        <w:ind w:left="72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DBD07F8"/>
    <w:multiLevelType w:val="multilevel"/>
    <w:tmpl w:val="A8C6572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F5"/>
    <w:rsid w:val="007640B1"/>
    <w:rsid w:val="00A021F5"/>
    <w:rsid w:val="00A70A83"/>
    <w:rsid w:val="00C722CB"/>
    <w:rsid w:val="00E905C3"/>
    <w:rsid w:val="00FE6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1F5"/>
    <w:rPr>
      <w:rFonts w:ascii="Tahoma" w:hAnsi="Tahoma" w:cs="Tahoma"/>
      <w:sz w:val="16"/>
      <w:szCs w:val="16"/>
    </w:rPr>
  </w:style>
  <w:style w:type="character" w:customStyle="1" w:styleId="TextedebullesCar">
    <w:name w:val="Texte de bulles Car"/>
    <w:basedOn w:val="Policepardfaut"/>
    <w:link w:val="Textedebulles"/>
    <w:uiPriority w:val="99"/>
    <w:semiHidden/>
    <w:rsid w:val="00A021F5"/>
    <w:rPr>
      <w:rFonts w:ascii="Tahoma" w:eastAsia="Times New Roman" w:hAnsi="Tahoma" w:cs="Tahoma"/>
      <w:sz w:val="16"/>
      <w:szCs w:val="16"/>
      <w:lang w:eastAsia="fr-FR"/>
    </w:rPr>
  </w:style>
  <w:style w:type="numbering" w:customStyle="1" w:styleId="Aucuneliste1">
    <w:name w:val="Aucune liste1"/>
    <w:next w:val="Aucuneliste"/>
    <w:uiPriority w:val="99"/>
    <w:semiHidden/>
    <w:unhideWhenUsed/>
    <w:rsid w:val="00A021F5"/>
  </w:style>
  <w:style w:type="table" w:styleId="Grilledutableau">
    <w:name w:val="Table Grid"/>
    <w:basedOn w:val="TableauNormal"/>
    <w:rsid w:val="00A021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021F5"/>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Num5">
    <w:name w:val="WWNum5"/>
    <w:basedOn w:val="Aucuneliste"/>
    <w:rsid w:val="00A021F5"/>
    <w:pPr>
      <w:numPr>
        <w:numId w:val="2"/>
      </w:numPr>
    </w:pPr>
  </w:style>
  <w:style w:type="paragraph" w:customStyle="1" w:styleId="Standard">
    <w:name w:val="Standard"/>
    <w:rsid w:val="00A021F5"/>
    <w:pPr>
      <w:suppressAutoHyphens/>
      <w:autoSpaceDN w:val="0"/>
      <w:textAlignment w:val="baseline"/>
    </w:pPr>
    <w:rPr>
      <w:rFonts w:ascii="Calibri" w:eastAsia="SimSun" w:hAnsi="Calibri" w:cs="F"/>
      <w:kern w:val="3"/>
    </w:rPr>
  </w:style>
  <w:style w:type="paragraph" w:styleId="En-tte">
    <w:name w:val="header"/>
    <w:basedOn w:val="Normal"/>
    <w:link w:val="En-tteCar"/>
    <w:uiPriority w:val="99"/>
    <w:unhideWhenUsed/>
    <w:rsid w:val="00A021F5"/>
    <w:pPr>
      <w:tabs>
        <w:tab w:val="center" w:pos="4536"/>
        <w:tab w:val="right" w:pos="9072"/>
      </w:tabs>
    </w:pPr>
  </w:style>
  <w:style w:type="character" w:customStyle="1" w:styleId="En-tteCar">
    <w:name w:val="En-tête Car"/>
    <w:basedOn w:val="Policepardfaut"/>
    <w:link w:val="En-tte"/>
    <w:uiPriority w:val="99"/>
    <w:rsid w:val="00A021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021F5"/>
    <w:pPr>
      <w:tabs>
        <w:tab w:val="center" w:pos="4536"/>
        <w:tab w:val="right" w:pos="9072"/>
      </w:tabs>
    </w:pPr>
  </w:style>
  <w:style w:type="character" w:customStyle="1" w:styleId="PieddepageCar">
    <w:name w:val="Pied de page Car"/>
    <w:basedOn w:val="Policepardfaut"/>
    <w:link w:val="Pieddepage"/>
    <w:uiPriority w:val="99"/>
    <w:rsid w:val="00A021F5"/>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1F5"/>
    <w:rPr>
      <w:rFonts w:ascii="Tahoma" w:hAnsi="Tahoma" w:cs="Tahoma"/>
      <w:sz w:val="16"/>
      <w:szCs w:val="16"/>
    </w:rPr>
  </w:style>
  <w:style w:type="character" w:customStyle="1" w:styleId="TextedebullesCar">
    <w:name w:val="Texte de bulles Car"/>
    <w:basedOn w:val="Policepardfaut"/>
    <w:link w:val="Textedebulles"/>
    <w:uiPriority w:val="99"/>
    <w:semiHidden/>
    <w:rsid w:val="00A021F5"/>
    <w:rPr>
      <w:rFonts w:ascii="Tahoma" w:eastAsia="Times New Roman" w:hAnsi="Tahoma" w:cs="Tahoma"/>
      <w:sz w:val="16"/>
      <w:szCs w:val="16"/>
      <w:lang w:eastAsia="fr-FR"/>
    </w:rPr>
  </w:style>
  <w:style w:type="numbering" w:customStyle="1" w:styleId="Aucuneliste1">
    <w:name w:val="Aucune liste1"/>
    <w:next w:val="Aucuneliste"/>
    <w:uiPriority w:val="99"/>
    <w:semiHidden/>
    <w:unhideWhenUsed/>
    <w:rsid w:val="00A021F5"/>
  </w:style>
  <w:style w:type="table" w:styleId="Grilledutableau">
    <w:name w:val="Table Grid"/>
    <w:basedOn w:val="TableauNormal"/>
    <w:rsid w:val="00A021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021F5"/>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Num5">
    <w:name w:val="WWNum5"/>
    <w:basedOn w:val="Aucuneliste"/>
    <w:rsid w:val="00A021F5"/>
    <w:pPr>
      <w:numPr>
        <w:numId w:val="2"/>
      </w:numPr>
    </w:pPr>
  </w:style>
  <w:style w:type="paragraph" w:customStyle="1" w:styleId="Standard">
    <w:name w:val="Standard"/>
    <w:rsid w:val="00A021F5"/>
    <w:pPr>
      <w:suppressAutoHyphens/>
      <w:autoSpaceDN w:val="0"/>
      <w:textAlignment w:val="baseline"/>
    </w:pPr>
    <w:rPr>
      <w:rFonts w:ascii="Calibri" w:eastAsia="SimSun" w:hAnsi="Calibri" w:cs="F"/>
      <w:kern w:val="3"/>
    </w:rPr>
  </w:style>
  <w:style w:type="paragraph" w:styleId="En-tte">
    <w:name w:val="header"/>
    <w:basedOn w:val="Normal"/>
    <w:link w:val="En-tteCar"/>
    <w:uiPriority w:val="99"/>
    <w:unhideWhenUsed/>
    <w:rsid w:val="00A021F5"/>
    <w:pPr>
      <w:tabs>
        <w:tab w:val="center" w:pos="4536"/>
        <w:tab w:val="right" w:pos="9072"/>
      </w:tabs>
    </w:pPr>
  </w:style>
  <w:style w:type="character" w:customStyle="1" w:styleId="En-tteCar">
    <w:name w:val="En-tête Car"/>
    <w:basedOn w:val="Policepardfaut"/>
    <w:link w:val="En-tte"/>
    <w:uiPriority w:val="99"/>
    <w:rsid w:val="00A021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021F5"/>
    <w:pPr>
      <w:tabs>
        <w:tab w:val="center" w:pos="4536"/>
        <w:tab w:val="right" w:pos="9072"/>
      </w:tabs>
    </w:pPr>
  </w:style>
  <w:style w:type="character" w:customStyle="1" w:styleId="PieddepageCar">
    <w:name w:val="Pied de page Car"/>
    <w:basedOn w:val="Policepardfaut"/>
    <w:link w:val="Pieddepage"/>
    <w:uiPriority w:val="99"/>
    <w:rsid w:val="00A021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de_calcul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127E-2"/>
          <c:y val="4.4057617797775277E-2"/>
          <c:w val="0.84182761009040541"/>
          <c:h val="0.85653105861767276"/>
        </c:manualLayout>
      </c:layout>
      <c:barChart>
        <c:barDir val="col"/>
        <c:grouping val="clustered"/>
        <c:varyColors val="0"/>
        <c:ser>
          <c:idx val="0"/>
          <c:order val="0"/>
          <c:tx>
            <c:strRef>
              <c:f>Feuil1!$B$1</c:f>
              <c:strCache>
                <c:ptCount val="1"/>
                <c:pt idx="0">
                  <c:v>BTS</c:v>
                </c:pt>
              </c:strCache>
            </c:strRef>
          </c:tx>
          <c:spPr>
            <a:solidFill>
              <a:srgbClr val="00B0F0"/>
            </a:solidFill>
          </c:spPr>
          <c:invertIfNegative val="0"/>
          <c:cat>
            <c:numRef>
              <c:f>Feuil1!$A$2:$A$13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Feuil1!$B$2:$B$13</c:f>
              <c:numCache>
                <c:formatCode>General</c:formatCode>
                <c:ptCount val="12"/>
                <c:pt idx="0">
                  <c:v>0</c:v>
                </c:pt>
                <c:pt idx="1">
                  <c:v>0</c:v>
                </c:pt>
                <c:pt idx="2">
                  <c:v>0</c:v>
                </c:pt>
                <c:pt idx="3">
                  <c:v>0</c:v>
                </c:pt>
                <c:pt idx="4">
                  <c:v>0</c:v>
                </c:pt>
                <c:pt idx="5">
                  <c:v>0</c:v>
                </c:pt>
                <c:pt idx="6">
                  <c:v>0</c:v>
                </c:pt>
                <c:pt idx="7">
                  <c:v>0</c:v>
                </c:pt>
                <c:pt idx="8">
                  <c:v>16</c:v>
                </c:pt>
                <c:pt idx="9">
                  <c:v>28</c:v>
                </c:pt>
                <c:pt idx="10">
                  <c:v>20</c:v>
                </c:pt>
                <c:pt idx="11">
                  <c:v>21</c:v>
                </c:pt>
              </c:numCache>
            </c:numRef>
          </c:val>
        </c:ser>
        <c:ser>
          <c:idx val="1"/>
          <c:order val="1"/>
          <c:tx>
            <c:strRef>
              <c:f>Feuil1!$C$1</c:f>
              <c:strCache>
                <c:ptCount val="1"/>
                <c:pt idx="0">
                  <c:v>SEP</c:v>
                </c:pt>
              </c:strCache>
            </c:strRef>
          </c:tx>
          <c:spPr>
            <a:solidFill>
              <a:srgbClr val="FF0000"/>
            </a:solidFill>
          </c:spPr>
          <c:invertIfNegative val="0"/>
          <c:cat>
            <c:numRef>
              <c:f>Feuil1!$A$2:$A$13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Feuil1!$C$2:$C$13</c:f>
              <c:numCache>
                <c:formatCode>General</c:formatCode>
                <c:ptCount val="12"/>
                <c:pt idx="0">
                  <c:v>289</c:v>
                </c:pt>
                <c:pt idx="1">
                  <c:v>385</c:v>
                </c:pt>
                <c:pt idx="2">
                  <c:v>470</c:v>
                </c:pt>
                <c:pt idx="3">
                  <c:v>504</c:v>
                </c:pt>
                <c:pt idx="4">
                  <c:v>534</c:v>
                </c:pt>
                <c:pt idx="5">
                  <c:v>292</c:v>
                </c:pt>
                <c:pt idx="6">
                  <c:v>275</c:v>
                </c:pt>
                <c:pt idx="7">
                  <c:v>314</c:v>
                </c:pt>
                <c:pt idx="8">
                  <c:v>306</c:v>
                </c:pt>
                <c:pt idx="9">
                  <c:v>299</c:v>
                </c:pt>
                <c:pt idx="10">
                  <c:v>309</c:v>
                </c:pt>
                <c:pt idx="11">
                  <c:v>304</c:v>
                </c:pt>
              </c:numCache>
            </c:numRef>
          </c:val>
        </c:ser>
        <c:ser>
          <c:idx val="2"/>
          <c:order val="2"/>
          <c:tx>
            <c:strRef>
              <c:f>Feuil1!$D$1</c:f>
              <c:strCache>
                <c:ptCount val="1"/>
                <c:pt idx="0">
                  <c:v>LYCEE</c:v>
                </c:pt>
              </c:strCache>
            </c:strRef>
          </c:tx>
          <c:spPr>
            <a:solidFill>
              <a:srgbClr val="00B050"/>
            </a:solidFill>
          </c:spPr>
          <c:invertIfNegative val="0"/>
          <c:cat>
            <c:numRef>
              <c:f>Feuil1!$A$2:$A$13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Feuil1!$D$2:$D$13</c:f>
              <c:numCache>
                <c:formatCode>General</c:formatCode>
                <c:ptCount val="12"/>
                <c:pt idx="0">
                  <c:v>156</c:v>
                </c:pt>
                <c:pt idx="1">
                  <c:v>225</c:v>
                </c:pt>
                <c:pt idx="2">
                  <c:v>311</c:v>
                </c:pt>
                <c:pt idx="3">
                  <c:v>347</c:v>
                </c:pt>
                <c:pt idx="4">
                  <c:v>372</c:v>
                </c:pt>
                <c:pt idx="5">
                  <c:v>468</c:v>
                </c:pt>
                <c:pt idx="6">
                  <c:v>414</c:v>
                </c:pt>
                <c:pt idx="7">
                  <c:v>389</c:v>
                </c:pt>
                <c:pt idx="8">
                  <c:v>334</c:v>
                </c:pt>
                <c:pt idx="9">
                  <c:v>401</c:v>
                </c:pt>
                <c:pt idx="10">
                  <c:v>407</c:v>
                </c:pt>
                <c:pt idx="11">
                  <c:v>433</c:v>
                </c:pt>
              </c:numCache>
            </c:numRef>
          </c:val>
        </c:ser>
        <c:ser>
          <c:idx val="3"/>
          <c:order val="3"/>
          <c:tx>
            <c:strRef>
              <c:f>Feuil1!$E$1</c:f>
              <c:strCache>
                <c:ptCount val="1"/>
                <c:pt idx="0">
                  <c:v>TOTAL</c:v>
                </c:pt>
              </c:strCache>
            </c:strRef>
          </c:tx>
          <c:invertIfNegative val="0"/>
          <c:cat>
            <c:numRef>
              <c:f>Feuil1!$A$2:$A$13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Feuil1!$E$2:$E$13</c:f>
              <c:numCache>
                <c:formatCode>General</c:formatCode>
                <c:ptCount val="12"/>
                <c:pt idx="0">
                  <c:v>445</c:v>
                </c:pt>
                <c:pt idx="1">
                  <c:v>610</c:v>
                </c:pt>
                <c:pt idx="2">
                  <c:v>781</c:v>
                </c:pt>
                <c:pt idx="3">
                  <c:v>851</c:v>
                </c:pt>
                <c:pt idx="4">
                  <c:v>906</c:v>
                </c:pt>
                <c:pt idx="5">
                  <c:v>760</c:v>
                </c:pt>
                <c:pt idx="6">
                  <c:v>689</c:v>
                </c:pt>
                <c:pt idx="7">
                  <c:v>703</c:v>
                </c:pt>
                <c:pt idx="8">
                  <c:v>656</c:v>
                </c:pt>
                <c:pt idx="9">
                  <c:v>728</c:v>
                </c:pt>
                <c:pt idx="10">
                  <c:v>746</c:v>
                </c:pt>
                <c:pt idx="11">
                  <c:v>758</c:v>
                </c:pt>
              </c:numCache>
            </c:numRef>
          </c:val>
        </c:ser>
        <c:dLbls>
          <c:showLegendKey val="0"/>
          <c:showVal val="0"/>
          <c:showCatName val="0"/>
          <c:showSerName val="0"/>
          <c:showPercent val="0"/>
          <c:showBubbleSize val="0"/>
        </c:dLbls>
        <c:gapWidth val="150"/>
        <c:axId val="73896448"/>
        <c:axId val="42689088"/>
      </c:barChart>
      <c:catAx>
        <c:axId val="73896448"/>
        <c:scaling>
          <c:orientation val="minMax"/>
        </c:scaling>
        <c:delete val="0"/>
        <c:axPos val="b"/>
        <c:numFmt formatCode="General" sourceLinked="1"/>
        <c:majorTickMark val="out"/>
        <c:minorTickMark val="none"/>
        <c:tickLblPos val="nextTo"/>
        <c:crossAx val="42689088"/>
        <c:crosses val="autoZero"/>
        <c:auto val="1"/>
        <c:lblAlgn val="ctr"/>
        <c:lblOffset val="100"/>
        <c:noMultiLvlLbl val="0"/>
      </c:catAx>
      <c:valAx>
        <c:axId val="42689088"/>
        <c:scaling>
          <c:orientation val="minMax"/>
        </c:scaling>
        <c:delete val="0"/>
        <c:axPos val="l"/>
        <c:majorGridlines/>
        <c:numFmt formatCode="General" sourceLinked="1"/>
        <c:majorTickMark val="out"/>
        <c:minorTickMark val="none"/>
        <c:tickLblPos val="nextTo"/>
        <c:crossAx val="73896448"/>
        <c:crosses val="autoZero"/>
        <c:crossBetween val="between"/>
      </c:valAx>
    </c:plotArea>
    <c:legend>
      <c:legendPos val="r"/>
      <c:layout>
        <c:manualLayout>
          <c:xMode val="edge"/>
          <c:yMode val="edge"/>
          <c:x val="0.90933928056680779"/>
          <c:y val="3.3102112235970553E-3"/>
          <c:w val="9.0660719433192233E-2"/>
          <c:h val="0.2870303712035995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13</Pages>
  <Words>2494</Words>
  <Characters>13722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PCPROVISEUR</dc:creator>
  <cp:lastModifiedBy>PCPROVISEUR</cp:lastModifiedBy>
  <cp:revision>2</cp:revision>
  <cp:lastPrinted>2015-10-09T14:46:00Z</cp:lastPrinted>
  <dcterms:created xsi:type="dcterms:W3CDTF">2015-10-09T14:29:00Z</dcterms:created>
  <dcterms:modified xsi:type="dcterms:W3CDTF">2015-10-09T15:15:00Z</dcterms:modified>
</cp:coreProperties>
</file>